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8865-2022 i Uppsala kommun</w:t>
      </w:r>
    </w:p>
    <w:p>
      <w:r>
        <w:t>Denna tillsynsbegäran behandlar höga naturvärden i avverkningsanmälan A 8865-2022 i Uppsala kommun som inkom 2022-02-22 och omfattar 1,1 ha.</w:t>
      </w:r>
    </w:p>
    <w:p>
      <w:pPr>
        <w:pStyle w:val="Caption"/>
      </w:pPr>
      <w:r>
        <w:drawing>
          <wp:inline xmlns:a="http://schemas.openxmlformats.org/drawingml/2006/main" xmlns:pic="http://schemas.openxmlformats.org/drawingml/2006/picture">
            <wp:extent cx="5486400" cy="4507460"/>
            <wp:docPr id="1" name="Picture 1"/>
            <wp:cNvGraphicFramePr>
              <a:graphicFrameLocks noChangeAspect="1"/>
            </wp:cNvGraphicFramePr>
            <a:graphic>
              <a:graphicData uri="http://schemas.openxmlformats.org/drawingml/2006/picture">
                <pic:pic>
                  <pic:nvPicPr>
                    <pic:cNvPr id="0" name="A 8865-2022 karta.png"/>
                    <pic:cNvPicPr/>
                  </pic:nvPicPr>
                  <pic:blipFill>
                    <a:blip r:embed="rId16"/>
                    <a:stretch>
                      <a:fillRect/>
                    </a:stretch>
                  </pic:blipFill>
                  <pic:spPr>
                    <a:xfrm>
                      <a:off x="0" y="0"/>
                      <a:ext cx="5486400" cy="450746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6638735, E 660670 i SWEREF 99 TM.</w:t>
      </w:r>
    </w:p>
    <w:p>
      <w:r>
        <w:t>I och inom 23 meter från avverkningsanmälan finns fynd av 6 naturvårdsarter, varav 2 är rödlistade och 4 är signalarter (S): linddyna (VU), gulprickig vaxskivling (NT), maskfingersvamp (S), narrtagging (S), plattad jordtunga (S) och sprödvaxing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Linddyna (VU)</w:t>
      </w:r>
      <w:r>
        <w:t xml:space="preserve"> är en nedbrytare på stammar av lind i varma ädellövskogsmiljöer med stort inslag av lind såsom bergbranter, glupmiljöer, hagmarker, lövängar och parker. Tillgång till lindlågor är viktig för linddynans fortbestånd. Bortfraktande av lindstammar från parker och alltför nitisk städning av hagmarker och lövskogsområden är allvarliga hot. På kända lokaler bör lind gynnas och all död ved av lind sparas. Lindlågor bör generellt sparas i "naturbetonade" delar av parker och i hagmarker. Tillsammans med linddyna lever ett antal sällsynta skalbaggsarter som omfattas av ett åtgärdsprogram för hotade arter (ÅGP). Bland dessa kan nämnas lindbarkbagge (EN), lindmögelbagge (VU), lindplattbagge (VU) och enfärgad brandsvampbagge (NT) (SLU Artdatabanken, 2024; Ehnström, 2006).</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Narrtagging</w:t>
      </w:r>
      <w:r>
        <w:t xml:space="preserve"> växer på död ved, mest klena pinnar och grenar av lövträdsved såsom hassel, ek, bok, alm, sälg och asp, men påfallande ofta även på döda enbuskar i hässlen och lundar. Den visar på skyddsvärda lövskogsområdn som ofta hyser många andra sällsynta och rödlistade arter. Arten indikerar rikare lövträdsmiljöer med död ved och hög luftfuktighet. Avverkning på eller i omedelbar närhet av lokalerna och överförande av gamla och olikåldriga lövbestånd vid stränder och på bördiga marker till likåldriga löv- eller barrbestånd utgör hot, liksom åtgärder som förändrar mikroklimatet i torrare riktning. För att på sikt klara arten i områden med skogsbruk måste utökad naturvårdshänsyn tas i bäckraviner, strandsnår, rasbranter, lövlundar och bestånd med stort inslag av död ved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