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22347-2026 i Uppsala kommun</w:t>
      </w:r>
    </w:p>
    <w:p>
      <w:r>
        <w:t>Detta klagomål behandlar höga naturvärden i avverkningsanmälan A 22347-2026 i Uppsala kommun som inkom 2026-05-12 och omfattar 3,6 ha.</w:t>
      </w:r>
    </w:p>
    <w:p>
      <w:pPr>
        <w:pStyle w:val="Caption"/>
      </w:pPr>
      <w:r>
        <w:drawing>
          <wp:inline xmlns:a="http://schemas.openxmlformats.org/drawingml/2006/main" xmlns:pic="http://schemas.openxmlformats.org/drawingml/2006/picture">
            <wp:extent cx="4286115" cy="5724000"/>
            <wp:docPr id="1" name="Picture 1"/>
            <wp:cNvGraphicFramePr>
              <a:graphicFrameLocks noChangeAspect="1"/>
            </wp:cNvGraphicFramePr>
            <a:graphic>
              <a:graphicData uri="http://schemas.openxmlformats.org/drawingml/2006/picture">
                <pic:pic>
                  <pic:nvPicPr>
                    <pic:cNvPr id="0" name="A 22347-2026 karta.png"/>
                    <pic:cNvPicPr/>
                  </pic:nvPicPr>
                  <pic:blipFill>
                    <a:blip r:embed="rId16"/>
                    <a:stretch>
                      <a:fillRect/>
                    </a:stretch>
                  </pic:blipFill>
                  <pic:spPr>
                    <a:xfrm>
                      <a:off x="0" y="0"/>
                      <a:ext cx="4286115"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6662852, E 634028 i SWEREF 99 TM.</w:t>
      </w:r>
    </w:p>
    <w:p>
      <w:r>
        <w:t>I och inom 14 meter från avverkningsanmälan finns fynd av 21 naturvårdsarter, varav 6 är rödlistade, 6 är fridlysta, 17 är typiska (T) och 9 är signalarter (S): knärot (VU, T, §8), brunpudrad nållav (NT, T), kattfotslav (NT, T), platt spretmossa (NT, T), ullticka (NT, T), vedtrappmossa (NT, T), björksplintborre (S), bronshjon (S, T), flagellkvastmossa (S, T), granbarkgnagare (S, T), grön sköldmossa (S, T, §8), gulnål (S, T), stubbspretmossa (S, T), vedticka (S, T), vågbandad barkbock (S), blåsippa (T, §9), glansfläck (T), kransmossa (T), spillkråka (T,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2.29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22347-2026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6662852, E 634028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Platt spretmossa (NT)</w:t>
      </w:r>
      <w:r>
        <w:t xml:space="preserve"> omfattas av EU:s art- och habitatdirektiv där dess bevarandestatus är otillfredsställande med negativ trend. Arten växer på murken ved eller på torvrik jord på fuktiga eller mycket fuktiga och skuggiga platser, ofta i al- och gransumpskogar med periodvis översvämning, eller utmed vattendrag. Den hotas av uthuggning, torrläggning och avverkning av sumpskogar. Platt spretmossa är rödlistad som nära hotad (NT) i den europeiska rödlistan och typisk art för </w:t>
      </w:r>
      <w:r>
        <w:rPr>
          <w:i/>
        </w:rPr>
        <w:t xml:space="preserve">9080 Lövsumpskog </w:t>
      </w:r>
      <w:r>
        <w:t xml:space="preserve">och </w:t>
      </w:r>
      <w:r>
        <w:rPr>
          <w:i/>
        </w:rPr>
        <w:t>9750 Svämlövskog</w:t>
      </w:r>
      <w:r>
        <w:t xml:space="preserve"> (SLU Artdatabanken, 2024; IUCN,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Glansfläck</w:t>
      </w:r>
      <w:r>
        <w:t xml:space="preserve"> signalerar skyddsvärda lövträdsbestånd som ofta hyser ett flertal rödlistade lavar. Många växtplatser har långvarig trädkontinuitet. Laven indikerar främst miljöer med konstant hög och jämn luftfuktighet och ostörda markvattenförhållanden. Glansfläck är typisk art för </w:t>
      </w:r>
      <w:r>
        <w:rPr>
          <w:i/>
        </w:rPr>
        <w:t>9190 Näringsfattig ekskog</w:t>
      </w:r>
      <w:r>
        <w:t xml:space="preserve"> (Nitare &amp; Skogsstyrelsen, 2000;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