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25143-2023 i Uppsala kommun</w:t>
      </w:r>
    </w:p>
    <w:p>
      <w:r>
        <w:t>Detta klagomål behandlar höga naturvärden i avverkningsanmälan A 25143-2023 i Uppsala kommun som inkom 2023-06-09 och omfattar 15,9 ha.</w:t>
      </w:r>
    </w:p>
    <w:p>
      <w:pPr>
        <w:pStyle w:val="Caption"/>
      </w:pPr>
      <w:r>
        <w:drawing>
          <wp:inline xmlns:a="http://schemas.openxmlformats.org/drawingml/2006/main" xmlns:pic="http://schemas.openxmlformats.org/drawingml/2006/picture">
            <wp:extent cx="5486400" cy="5561814"/>
            <wp:docPr id="1" name="Picture 1"/>
            <wp:cNvGraphicFramePr>
              <a:graphicFrameLocks noChangeAspect="1"/>
            </wp:cNvGraphicFramePr>
            <a:graphic>
              <a:graphicData uri="http://schemas.openxmlformats.org/drawingml/2006/picture">
                <pic:pic>
                  <pic:nvPicPr>
                    <pic:cNvPr id="0" name="A 25143-2023 karta.png"/>
                    <pic:cNvPicPr/>
                  </pic:nvPicPr>
                  <pic:blipFill>
                    <a:blip r:embed="rId16"/>
                    <a:stretch>
                      <a:fillRect/>
                    </a:stretch>
                  </pic:blipFill>
                  <pic:spPr>
                    <a:xfrm>
                      <a:off x="0" y="0"/>
                      <a:ext cx="5486400" cy="5561814"/>
                    </a:xfrm>
                    <a:prstGeom prst="rect"/>
                  </pic:spPr>
                </pic:pic>
              </a:graphicData>
            </a:graphic>
          </wp:inline>
        </w:drawing>
      </w:r>
    </w:p>
    <w:p>
      <w:pPr>
        <w:pStyle w:val="Caption"/>
        <w:spacing w:after="240"/>
      </w:pPr>
      <w:r>
        <w:t>Figur 1. Fyndplatser för naturvårdsarter i och inom 14 meter från avverkningsanmälan. Markörer utan svart kant är placerade på fyndplatsen. Markörer med svart kant är placerade vid sidan av fyndplatsen och har ett svart streck som visar fyndplatsens exakta position. Kartans mittpunktskoordinat är N 6646100, E 628578 i SWEREF 99 TM.</w:t>
      </w:r>
    </w:p>
    <w:p>
      <w:r>
        <w:t>I och inom 14 meter från avverkningsanmälan finns fynd av 14 naturvårdsarter, varav 4 är rödlistade, 6 är fridlysta, 7 är typiska (T) och 5 är signalarter (S): knärot (VU, T, §8), grönhjon (NT), ullticka (NT, T), vågticka (NT), bronshjon (S, T), fällmossa (S, T), granbarkgnagare (S, T), grönpyrola (S, T), guldlockmossa (S, T), grönsiska (§4), kungsfågel (§4), åkergroda (§4a), vanlig groda (§6) och revlummer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0.24 ha med buffertzonerna och får av detta skäl inte avverkas.</w:t>
      </w:r>
    </w:p>
    <w:p>
      <w:pPr>
        <w:pStyle w:val="Caption"/>
      </w:pPr>
      <w:r>
        <w:drawing>
          <wp:inline xmlns:a="http://schemas.openxmlformats.org/drawingml/2006/main" xmlns:pic="http://schemas.openxmlformats.org/drawingml/2006/picture">
            <wp:extent cx="5486400" cy="5303520"/>
            <wp:docPr id="2" name="Picture 2"/>
            <wp:cNvGraphicFramePr>
              <a:graphicFrameLocks noChangeAspect="1"/>
            </wp:cNvGraphicFramePr>
            <a:graphic>
              <a:graphicData uri="http://schemas.openxmlformats.org/drawingml/2006/picture">
                <pic:pic>
                  <pic:nvPicPr>
                    <pic:cNvPr id="0" name="A 25143-2023 karta knärot.png"/>
                    <pic:cNvPicPr/>
                  </pic:nvPicPr>
                  <pic:blipFill>
                    <a:blip r:embed="rId17"/>
                    <a:stretch>
                      <a:fillRect/>
                    </a:stretch>
                  </pic:blipFill>
                  <pic:spPr>
                    <a:xfrm>
                      <a:off x="0" y="0"/>
                      <a:ext cx="5486400" cy="5303520"/>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6646100, E 628578 i SWEREF 99 TM.</w:t>
      </w:r>
    </w:p>
    <w:p>
      <w:r>
        <w:rPr>
          <w:b/>
        </w:rPr>
        <w:t>Grönhjon (NT)</w:t>
      </w:r>
      <w:r>
        <w:t xml:space="preserve"> är en skalbagge vars larvutveckling framför allt sker i grovbarkiga grenar (minst 3–5 cm tjocka) på gamla granar, men även i klena stamdelar av barrträd, främst gran, i mindre omfattning tall. Arten är knuten till gamla och gärna glesa granskogar där det finns långsamväxande träd med välutvecklat grenverk. Larverna lever i den skrovliga barken och gör en flera cm bred platt gång som mest liknar en rund håla och är tydligt nedsänkt i vedytan. I kanten av eller mitt på gången finner man en 5 mm bred, oval gång in i grenens ved där arten gör sin puppkammare. Insekten kläcks sedan ut genom samma gång. Främsta hotet är att gamla granar med grova grenar försvinner genom skogsbruk. Äldre granbestånd bör sparas så långt det är möjligt, och inte gallras eller slutavverkas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 xml:space="preserve">Vågticka (NT) </w:t>
      </w:r>
      <w:r>
        <w:t>förekommer främst i rikare kontinuitetsskogar med mycket död ved. Den växer på grova lågor och stubbar av gran och asp, men ibland även på andra trädslag.  Arten missgynnas av slutavverkning av äldre barrskog med lång skoglig kontinuitet, men även av skogliga åtgärder som t.ex. markberedning som förstör lågor. Minskningstakten för den svenska populationen bedöms vara nära gränsvärdet för sårbar (VU) (SLU Artdatabanken, 2026).</w:t>
      </w:r>
    </w:p>
    <w:p>
      <w:r>
        <w:rPr>
          <w:b/>
        </w:rPr>
        <w:t>Bronshjon</w:t>
      </w:r>
      <w:r>
        <w:t xml:space="preserve"> är en skalbagge vars larvutveckling sker under grov bark på stammar av döda eller döende barrträd, främst gran, i mindre omfattning tall. Arten är knuten till äldre, naturskogslik granskog med inslag av torkande träd. Bronshjon är typisk art för </w:t>
      </w:r>
      <w:r>
        <w:rPr>
          <w:i/>
        </w:rPr>
        <w:t>9010 Taiga</w:t>
      </w:r>
      <w:r>
        <w:t xml:space="preserve"> (SLU Artdatabanken, 2025).</w:t>
      </w:r>
    </w:p>
    <w:p>
      <w:r>
        <w:rPr>
          <w:b/>
        </w:rPr>
        <w:t>Fällmossa</w:t>
      </w:r>
      <w:r>
        <w:t xml:space="preserve"> indikerar i stort sett alltid områden med höga naturvärden, skog med lång kontinuitet, gamla träd, hög luftfuktighet och stabila förhållanden. Sporkapslar finnar man enbart på extra skyddsvärda lokaler. Fällmossa är typisk art för </w:t>
      </w:r>
      <w:r>
        <w:rPr>
          <w:i/>
        </w:rPr>
        <w:t xml:space="preserve">9020 Nordlig ädellövskog, 9110 Näringsfattig bokskog, 9130 Näringsrik bokskog, 9160 Näringsrik ekskog, 9180 Ädellövskog i branter </w:t>
      </w:r>
      <w:r>
        <w:t>och</w:t>
      </w:r>
      <w:r>
        <w:rPr>
          <w:i/>
        </w:rPr>
        <w:t xml:space="preserve"> 9190 Näringsfattig ekskog</w:t>
      </w:r>
      <w:r>
        <w:t xml:space="preserve"> (SLU Artdatabanken, 2024; Nitare &amp; Skogsstyrelsen, 2019).</w:t>
      </w:r>
    </w:p>
    <w:p>
      <w:r>
        <w:rPr>
          <w:b/>
        </w:rPr>
        <w:t xml:space="preserve">Granbarkgnagare </w:t>
      </w:r>
      <w:r>
        <w:t xml:space="preserve">är en skalbagge vars larvutveckling sker i den tjocka ytterbarken på gamla och mycket grova levande granar. Man lägger lätt märke till angreppen på träden eftersom flera grova kläckhål ligger ganska tätt intill varandra på de grövre barkåsarna. Kläckhålen är runda och ca 1,5 mm breda. Granbarkgnagare är typisk art för </w:t>
      </w:r>
      <w:r>
        <w:rPr>
          <w:i/>
        </w:rPr>
        <w:t xml:space="preserve">9010 Taiga </w:t>
      </w:r>
      <w:r>
        <w:t>(Ehnström, 2002; SLU Artdatabanken, 2025).</w:t>
      </w:r>
    </w:p>
    <w:p>
      <w:r>
        <w:rPr>
          <w:b/>
        </w:rPr>
        <w:t xml:space="preserve">Grönpyrola </w:t>
      </w:r>
      <w:r>
        <w:t xml:space="preserve">växer främst på sandig, torr eller frisk mark i äldre barrskog, ofta på isälvsmaterial såsom sand och grus. Den påträffas främst i äldre naturligt uppkomna barrskogar, exempelvis på tallmoar, i åssluttningar, dyner och rasbranter. Arten är känslig för skogsbruksmetoder såsom slutavverkning och markberedning. Grönpyrola är typisk art för </w:t>
      </w:r>
      <w:r>
        <w:rPr>
          <w:i/>
        </w:rPr>
        <w:t>9010 Taiga, 9060 Åsbarrskog</w:t>
      </w:r>
      <w:r>
        <w:t xml:space="preserve"> och</w:t>
      </w:r>
      <w:r>
        <w:rPr>
          <w:i/>
        </w:rPr>
        <w:t xml:space="preserve"> 1610 Åsöar i Östersjön </w:t>
      </w:r>
      <w:r>
        <w:t>(Nitare &amp; Skogsstyrelsen, 2019; SLU Artdatabanken, 2025).</w:t>
      </w:r>
    </w:p>
    <w:p>
      <w:r>
        <w:rPr>
          <w:b/>
        </w:rPr>
        <w:t>Guldlockmossa</w:t>
      </w:r>
      <w:r>
        <w:t xml:space="preserve"> växer på solexponerade, basiska klippor och block samt på skrovlig bark vid basen av ädellövträd med rik bark, ofta på gamla ekar, bokar och andra ädellövträd som står öppet i bryn. Särskilt högt signalvärde har den i norra Sverige där den sällsynt kan påträffas i sydväxtberg på klippor med basiska bergarter. Guldlockmossa är typisk art för </w:t>
      </w:r>
      <w:r>
        <w:rPr>
          <w:i/>
        </w:rPr>
        <w:t xml:space="preserve">9110 Näringsfattig bokskog, 9160 Näringsrik ekskog, 9180 Ädellövskog i branter </w:t>
      </w:r>
      <w:r>
        <w:t xml:space="preserve">och </w:t>
      </w:r>
      <w:r>
        <w:rPr>
          <w:i/>
        </w:rPr>
        <w:t xml:space="preserve">9190 Näringsfattig ekskog </w:t>
      </w:r>
      <w:r>
        <w:t>(Nitare &amp; Skogsstyrelsen, 2019;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14 naturvårdsarter varav 4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