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37004-2025 i Uppsala kommun</w:t>
      </w:r>
    </w:p>
    <w:p>
      <w:r>
        <w:t>Detta klagomål behandlar höga naturvärden i avverkningsanmälan A 37004-2025 i Uppsala kommun som inkom 2025-08-05 och omfattar 15,8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A 37004-2025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6638646, E 656760 i SWEREF 99 TM.</w:t>
      </w:r>
    </w:p>
    <w:p>
      <w:r>
        <w:t>I och inom 24 meter från avverkningsanmälan finns fynd av 14 naturvårdsarter, varav 9 är rödlistade, 6 är fridlysta, 4 är typiska (T) och 1 är signalart (S): kranssalvia (EN), cinnoberbagge (VU, §4a), sanddådra (VU), gullklöver (NT), gulsparv (NT, §4), motaggsvamp (NT, T), riddarsporre (NT), skogshare (NT), sminkrot (NT), mindre märgborre (S, T), blåsippa (T, §9), spillkråka (T, §4), åkergroda (§4a)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Cinnoberbagge (VU, §4a)</w:t>
      </w:r>
      <w:r>
        <w:t xml:space="preserve">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Cinnoberbagge missgynnas tveklöst av modernt skogsbruk och äldre lövrik skog, särskilt bestånd med gamla aspar, bör generellt sparas inom artens utbredningsområde (SLU Artdatabanken, 2026; Eriksson, 2013).</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Cinnoberbagge – ekologi samt krav på livsmiljön</w:t>
      </w:r>
    </w:p>
    <w:p>
      <w:r>
        <w:t>Cinnoberbagge (VU, §4a)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(SLU Artdatabanken, 2026; Eriksson, 2013).</w:t>
      </w:r>
    </w:p>
    <w:p>
      <w:r>
        <w:t>Larvutvecklingen sker i innerbarken av nyligen döda, stående eller liggande stammar av främst lövträd. Huvudsakligen utnyttjas asp där larverna främst påträffas i beskuggade partier av stammarna och som mest kan 2–3 generationer utvecklas i ett träd innan det blir olämpligt som substrat på grund av att barken blir för torr och lossnar. Arten missgynnas tveklöst av modernt skogsbruk och äldre lövrik skog, särskilt bestånd med gamla aspar, bör generellt sparas inom artens utbredningsområde (SLU Artdatabanken, 2026; Eriksson, 2013).</w:t>
      </w:r>
    </w:p>
    <w:p>
      <w:pPr>
        <w:pStyle w:val="Heading2"/>
      </w:pPr>
      <w:r>
        <w:t>Referenser – cinnoberbagge</w:t>
      </w:r>
    </w:p>
    <w:p>
      <w:r>
        <w:t xml:space="preserve">Eriksson, P., 2013. </w:t>
      </w:r>
      <w:r>
        <w:rPr>
          <w:i/>
        </w:rPr>
        <w:t>Åtgärdsprogram för skalbaggar på gammal asp 2013–2017 Cinnoberbagge (Cucujus cinnaberinus) Aspsplintbock (Leiopus punctulatus)</w:t>
      </w:r>
      <w:r>
        <w:t xml:space="preserve"> (Rapport 6573). Bromma: Naturvårdsverket. https://www.naturvardsverket.se/978-91-620-6573-7</w:t>
      </w:r>
    </w:p>
    <w:p>
      <w:r>
        <w:t>SLU Artdatabanken, 2026.</w:t>
      </w:r>
      <w:r>
        <w:rPr>
          <w:i/>
        </w:rPr>
        <w:t xml:space="preserve"> Artfakta: cinnoberbagge (Cucujus cinnaberinus)</w:t>
      </w:r>
      <w:r>
        <w:t>. https://artfakta.se/taxa/100763</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