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51297-2024 i Uppsala kommun</w:t>
      </w:r>
    </w:p>
    <w:p>
      <w:r>
        <w:t>Detta dokument behandlar höga naturvärden i avverkningsanmälan A 51297-2024 i Uppsala kommun. Denna avverkningsanmälan inkom 2024-11-07 och omfattar 322,7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cinnoberbagge (EN, §4a), bombmurkla (VU, §8), rostorangelav (VU), vinterhämpling (VU, §4), västlig njurlav (VU), duvhök (NT, §4), grynig filtlav (NT), grön aspvedbock (NT), järpe (NT, §4), koralltaggsvamp (NT), lunglav (NT), mindre hackspett (NT, §4), rödvingetrast (NT, §4), slaguggla (NT, §4), spillkråka (NT, §4), talltita (NT, §4), tretåig hackspett (NT, §4), ullticka (NT), vippärt (NT), barkticka (S), bårdlav (S), grön sköldmossa (S, §8), lönnlav (S), platt fjädermossa (S), rävticka (S), skinnlav (S), stor aspticka (S), stuplav (S), trådticka (S) och skogsduva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129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6630871, E 628228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cinnoberbagge (EN, §4a), bombmurkla (VU, §8), vinterhämpling (VU, §4), duvhök (NT, §4), järpe (NT, §4), mindre hackspett (NT, §4), rödvingetrast (NT, §4), slaguggla (NT, §4), spillkråka (NT, §4), talltita (NT, §4), tretåig hackspett (NT, §4), grön sköldmossa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Cinnoberbagge (EN, §4a)</w:t>
      </w:r>
      <w:r>
        <w:t xml:space="preserve">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Den är globalt rödlistad som nära hotad (NT) vilket innebär att Sverige har ett internationellt ansvar för arten (SLU Artdatabanken, 2024; Eriksson, 2013; IUCN, 2010).</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Cinnoberbagge – ekologi samt krav på livsmiljön</w:t>
      </w:r>
    </w:p>
    <w:p>
      <w:r>
        <w:t>Cinnoberbagge (EN, §4a)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Arten är globalt rödlistad som nära hotad (NT) vilket innebär att Sverige har ett internationellt ansvar för arten (SLU Artdatabanken, 2024; Eriksson, 2013; IUCN, 2010).</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2024; Eriksson, 2013; IUCN, 2010).</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 xml:space="preserve">IUCN, 2010. </w:t>
      </w:r>
      <w:r>
        <w:rPr>
          <w:i/>
        </w:rPr>
        <w:t>Cucujus cinnaberinus</w:t>
      </w:r>
      <w:r>
        <w:t>. The IUCN Red List of Threatened Species.</w:t>
      </w:r>
    </w:p>
    <w:p>
      <w:r>
        <w:t>SLU Artdatabanken, 2024.</w:t>
      </w:r>
      <w:r>
        <w:rPr>
          <w:i/>
        </w:rPr>
        <w:t xml:space="preserve"> Artfakta: cinnoberbagge (Cucujus cinnaberinus)</w:t>
      </w:r>
      <w:r>
        <w:t>. https://artfakta.se/taxa/100763</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