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klagomål behandlar höga naturvärden i avverkningsanmälan A 38085-2025 i Uppsala kommun som inkom 2025-08-13 och omfattar 7,4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6659989, E 634016 i SWEREF 99 TM.</w:t>
      </w:r>
    </w:p>
    <w:p>
      <w:r>
        <w:t>I och inom 22 meter från avverkningsanmälan finns fynd av 24 naturvårdsarter, varav 11 är rödlistade, 5 är fridlysta, 15 är typiska (T) och 10 är signalarter (S): violgubbe (EN), blackticka (VU), garnlav (VU, T), knärot (VU, T, §8), Blastenia relicta (NT), nötkråka (NT, T, §4), rynkskinn (NT, T), tallfingersvamp (NT), talltita (NT, §4), ullticka (NT, T), vedtrappmossa (NT, T), barkticka (S, T), björksplintborre (S), blodticka (S, T), brandticka (S), granbarkgnagare (S, T), grov fjädermossa (S, T), platt fjädermossa (S, T), skinnlav (S, T), vedticka (S, T), vågbandad barkbock (S),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150806"/>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51508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