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29139-2024 i Uppsala kommun</w:t>
      </w:r>
    </w:p>
    <w:p>
      <w:r>
        <w:t>Detta dokument behandlar höga naturvärden i avverkningsanmälan A 29139-2024 i Uppsala kommun. Denna avverkningsanmälan inkom 2024-07-09 och omfattar 26,4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granskugglöpare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4173"/>
            <wp:docPr id="1" name="Picture 1"/>
            <wp:cNvGraphicFramePr>
              <a:graphicFrameLocks noChangeAspect="1"/>
            </wp:cNvGraphicFramePr>
            <a:graphic>
              <a:graphicData uri="http://schemas.openxmlformats.org/drawingml/2006/picture">
                <pic:pic>
                  <pic:nvPicPr>
                    <pic:cNvPr id="0" name="A 29139-2024 karta.png"/>
                    <pic:cNvPicPr/>
                  </pic:nvPicPr>
                  <pic:blipFill>
                    <a:blip r:embed="rId16"/>
                    <a:stretch>
                      <a:fillRect/>
                    </a:stretch>
                  </pic:blipFill>
                  <pic:spPr>
                    <a:xfrm>
                      <a:off x="0" y="0"/>
                      <a:ext cx="5486400" cy="413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6662648, E 657700 i SWEREF 99 TM.</w:t>
      </w:r>
    </w:p>
    <w:p>
      <w:r>
        <w:rPr>
          <w:b/>
        </w:rPr>
        <w:t xml:space="preserve">Granskugglöpare (NT) </w:t>
      </w:r>
      <w:r>
        <w:t>lever i blöta, skuggiga, vitmossdominerade skogskärr. Ofta i gransumpskog, men även på tallmossar och i andra typer av näringsfattiga kärr i skogsmark. Arten är nattaktiv och gömmer sig dagtid djupt nere i mosstuvor. Arten missgynnas främst av skogsdikning, men också av gallring och slutavverkning av skogskärr och gransumpskogar, som ändrar beskuggning och fuktighetsförhållanden. Förhindra åtgärder som ökar avvattning av sumpskogar, t.ex. skyddsdikning, rensning av äldre diken eller avvattning i samband med dragning av skogsbilvägar. Lämna tillräckliga skyddszoner vid avverkning nära myrar och vattendrag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