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3289-2022 i Uppsala kommun</w:t>
      </w:r>
    </w:p>
    <w:p>
      <w:r>
        <w:t>Detta klagomål behandlar höga naturvärden i samrådsanmälan S 3289-2022 i Uppsala kommun som inkom 2022-06-14 och omfattar 11,1 ha.</w:t>
      </w:r>
    </w:p>
    <w:p>
      <w:pPr>
        <w:pStyle w:val="Caption"/>
      </w:pPr>
      <w:r>
        <w:drawing>
          <wp:inline xmlns:a="http://schemas.openxmlformats.org/drawingml/2006/main" xmlns:pic="http://schemas.openxmlformats.org/drawingml/2006/picture">
            <wp:extent cx="5004074" cy="5724000"/>
            <wp:docPr id="1" name="Picture 1"/>
            <wp:cNvGraphicFramePr>
              <a:graphicFrameLocks noChangeAspect="1"/>
            </wp:cNvGraphicFramePr>
            <a:graphic>
              <a:graphicData uri="http://schemas.openxmlformats.org/drawingml/2006/picture">
                <pic:pic>
                  <pic:nvPicPr>
                    <pic:cNvPr id="0" name="S 3289-2022 karta.png"/>
                    <pic:cNvPicPr/>
                  </pic:nvPicPr>
                  <pic:blipFill>
                    <a:blip r:embed="rId16"/>
                    <a:stretch>
                      <a:fillRect/>
                    </a:stretch>
                  </pic:blipFill>
                  <pic:spPr>
                    <a:xfrm>
                      <a:off x="0" y="0"/>
                      <a:ext cx="5004074" cy="5724000"/>
                    </a:xfrm>
                    <a:prstGeom prst="rect"/>
                  </pic:spPr>
                </pic:pic>
              </a:graphicData>
            </a:graphic>
          </wp:inline>
        </w:drawing>
      </w:r>
    </w:p>
    <w:p>
      <w:pPr>
        <w:pStyle w:val="Caption"/>
        <w:spacing w:after="240"/>
      </w:pPr>
      <w:r>
        <w:t>Figur 1. Fyndplatser för naturvårdsarter i och inom 13 meter från samrådsanmälan. Markörer utan svart kant är placerade på fyndplatsen. Markörer med svart kant är placerade vid sidan av fyndplatsen och har ett svart streck som visar fyndplatsens exakta position. Kartans mittpunktskoordinat är N 6668108, E 639237 i SWEREF 99 TM.</w:t>
      </w:r>
    </w:p>
    <w:p>
      <w:r>
        <w:t>I och inom 13 meter från samrådsanmälan finns fynd av 12 naturvårdsarter, varav 6 är rödlistade, 3 är fridlysta, 8 är typiska (T) och 6 är signalarter (S): knärot (VU, T, §8), grönhjon (NT), orange taggsvamp (NT, T), tallticka (NT, T), talltita (NT, §4), ullticka (NT, T), bronshjon (S, T), granbarkgnagare (S, T), grönpyrola (S, T), plattlummer (S, T, §9), thomsons trägnagare (S) och vågbandad barkbock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3 fyndplatser för knärot registrerade på Artportalen. Figur 2 visar gränserna för buffertzoner på 50 m, som behöver lämnas kring fyndplatserna för att knärotslokalerna inte ska försvinna vid en avverkning. Av det samrådsanmälda området överlappar 1.50 ha med buffertzonerna och får av detta skäl inte avverkas.</w:t>
      </w:r>
    </w:p>
    <w:p>
      <w:pPr>
        <w:pStyle w:val="Caption"/>
      </w:pPr>
      <w:r>
        <w:drawing>
          <wp:inline xmlns:a="http://schemas.openxmlformats.org/drawingml/2006/main" xmlns:pic="http://schemas.openxmlformats.org/drawingml/2006/picture">
            <wp:extent cx="5486400" cy="8781861"/>
            <wp:docPr id="2" name="Picture 2"/>
            <wp:cNvGraphicFramePr>
              <a:graphicFrameLocks noChangeAspect="1"/>
            </wp:cNvGraphicFramePr>
            <a:graphic>
              <a:graphicData uri="http://schemas.openxmlformats.org/drawingml/2006/picture">
                <pic:pic>
                  <pic:nvPicPr>
                    <pic:cNvPr id="0" name="S 3289-2022 karta knärot.png"/>
                    <pic:cNvPicPr/>
                  </pic:nvPicPr>
                  <pic:blipFill>
                    <a:blip r:embed="rId17"/>
                    <a:stretch>
                      <a:fillRect/>
                    </a:stretch>
                  </pic:blipFill>
                  <pic:spPr>
                    <a:xfrm>
                      <a:off x="0" y="0"/>
                      <a:ext cx="5486400" cy="8781861"/>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6668108, E 639237 i SWEREF 99 TM.</w:t>
      </w:r>
    </w:p>
    <w:p>
      <w:r>
        <w:rPr>
          <w:b/>
        </w:rPr>
        <w:t>Grönhjon (NT)</w:t>
      </w:r>
      <w:r>
        <w:t xml:space="preserve"> är en skalbagge vars larvutveckling framför allt sker i grovbarkiga grenar (minst 3–5 cm tjocka) på gamla granar, men även i klena stamdelar av barrträd, främst gran, i mindre omfattning tall. Arten är knuten till gamla och gärna glesa granskogar där det finns långsamväxande träd med välutvecklat grenverk. Larverna lever i den skrovliga barken och gör en flera cm bred platt gång som mest liknar en rund håla och är tydligt nedsänkt i vedytan. I kanten av eller mitt på gången finner man en 5 mm bred, oval gång in i grenens ved där arten gör sin puppkammare. Insekten kläcks sedan ut genom samma gång. Främsta hotet är att gamla granar med grova grenar försvinner genom skogsbruk. Äldre granbestånd bör sparas så långt det är möjligt, och inte gallras eller slutavverkas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12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