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26460-2023 i Uppsala kommun</w:t>
      </w:r>
    </w:p>
    <w:p>
      <w:r>
        <w:t>Denna tillsynsbegäran behandlar höga naturvärden i avverkningsanmälan A 26460-2023 i Uppsala kommun som inkom 2023-06-15 och omfattar 6,3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26460-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6657187, E 691810 i SWEREF 99 TM.</w:t>
      </w:r>
    </w:p>
    <w:p>
      <w:r>
        <w:t>I och inom 25 meter från avverkningsanmälan finns fynd av 14 naturvårdsarter, varav 4 är rödlistade, 1 är fridlyst, 8 är typiska (T) och 10 är signalarter (S): aspgelélav (VU, T), blek fingersvamp (NT), kandelabersvamp (NT, T), vit vedfingersvamp (NT), aspvedgnagare (S), barkticka (S, T), granbarkgnagare (S, T), grön sköldmossa (S, T, §8), jättesvampmal (S), korallblylav (S, T), rödgul trumpetsvamp (S), skinnlav (S, T), vedticka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82479"/>
            <wp:docPr id="2" name="Picture 2"/>
            <wp:cNvGraphicFramePr>
              <a:graphicFrameLocks noChangeAspect="1"/>
            </wp:cNvGraphicFramePr>
            <a:graphic>
              <a:graphicData uri="http://schemas.openxmlformats.org/drawingml/2006/picture">
                <pic:pic>
                  <pic:nvPicPr>
                    <pic:cNvPr id="0" name="A 26460-2023 karta knärot.png"/>
                    <pic:cNvPicPr/>
                  </pic:nvPicPr>
                  <pic:blipFill>
                    <a:blip r:embed="rId17"/>
                    <a:stretch>
                      <a:fillRect/>
                    </a:stretch>
                  </pic:blipFill>
                  <pic:spPr>
                    <a:xfrm>
                      <a:off x="0" y="0"/>
                      <a:ext cx="5486400" cy="5782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6657187, E 691810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kandelabersvamp (NT, T), barkticka (S, T), granbarkgnagare (S, T), grön sköldmossa (S, T, §8), korallblylav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