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8229-2026 i Uppsala kommun</w:t>
      </w:r>
    </w:p>
    <w:p>
      <w:r>
        <w:t>Denna tillsynsbegäran behandlar höga naturvärden i avverkningsanmälan A 8229-2026 i Uppsala kommun som inkom 2026-02-10 och omfattar 17,8 ha.</w:t>
      </w:r>
    </w:p>
    <w:p>
      <w:pPr>
        <w:pStyle w:val="Caption"/>
      </w:pPr>
      <w:r>
        <w:drawing>
          <wp:inline xmlns:a="http://schemas.openxmlformats.org/drawingml/2006/main" xmlns:pic="http://schemas.openxmlformats.org/drawingml/2006/picture">
            <wp:extent cx="5486400" cy="4888740"/>
            <wp:docPr id="1" name="Picture 1"/>
            <wp:cNvGraphicFramePr>
              <a:graphicFrameLocks noChangeAspect="1"/>
            </wp:cNvGraphicFramePr>
            <a:graphic>
              <a:graphicData uri="http://schemas.openxmlformats.org/drawingml/2006/picture">
                <pic:pic>
                  <pic:nvPicPr>
                    <pic:cNvPr id="0" name="A 8229-2026 karta.png"/>
                    <pic:cNvPicPr/>
                  </pic:nvPicPr>
                  <pic:blipFill>
                    <a:blip r:embed="rId16"/>
                    <a:stretch>
                      <a:fillRect/>
                    </a:stretch>
                  </pic:blipFill>
                  <pic:spPr>
                    <a:xfrm>
                      <a:off x="0" y="0"/>
                      <a:ext cx="5486400" cy="488874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6642399, E 657688 i SWEREF 99 TM.</w:t>
      </w:r>
    </w:p>
    <w:p>
      <w:r>
        <w:t>I och inom 23 meter från avverkningsanmälan finns fynd av 22 naturvårdsarter, varav 8 är rödlistade, 17 är fridlysta, 7 är typiska (T) och 3 är signalarter (S): grönfink (VU, §4), slöjmussling (VU), gulsparv (NT, §4), järnsparv (NT, §4), krusfrö (NT), nötkråka (NT, T, §4), rödvingetrast (NT, §4), sparvuggla (NT, §4), barkticka (S, T), fällmossa (S, T), stor aspticka (S, T), blåsippa (T, §9), järpe (T, §4), spillkråka (T, §4), gröngöling (§4), grönsiska (§4), kungsfågel (§4), törnskata (§4), ärtsångare (§4), huggorm (§6), skogsödla (§6)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Slöjmussling (VU)</w:t>
      </w:r>
      <w:r>
        <w:t xml:space="preserve"> är en nedbrytare av stående ved och lågor av asp i lövskog. Uppmärksammad, lättbestämd och uppenbarligen en mycket sällsynt art med liten population. Arten hotas främst av att växtplatserna kan förstöras genom någon form av exploatering. Även skogliga åtgärder som innebär att lågor och döda eller skadade träd tas bort missgynnar arten. En slutavverkning, skoglig gallring eller annat uttag av virke på växtplatsen som ger ett förändrat lokalklimat innebär ett direkt hot. Juridiskt skydd för de få kända lokalerna är nödvändigt och markanvändningen bör anpassas noggrant efter artens krav för att förbättra artens överlevnadsmöjligheter (SLU Artdatabanken, 2026).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nötkråka (NT, T, §4), barkticka (S, T), fällmossa (S, T), stor aspticka (S, T), blåsippa (T, §9),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