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som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2"/>
      </w:pPr>
      <w:r>
        <w:t>Fridlysta arter</w:t>
      </w:r>
    </w:p>
    <w:p>
      <w:r>
        <w:t>Följande fridlysta arter har sina livsmiljöer och växtplatser i den avverkningsanmälda skogen: cinnoberbagge (VU, §4a), stare (VU, §4), enkelbeckasin (NT, §4), gråhakedopping (NT, §4), grönsångare (NT, §4), nordfladdermus (NT, §4a), blåsippa (T, §9), spillkråka (T, §4), dvärgpipistrell (§4a), gröngöling (§4), kråka (§4), större vattensalamander (§4a), svartvit flugsnappare (§4), trädlärka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