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som inkom 2026-03-26 och omfattar 2,7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