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2523-2024 i Uppsala kommun</w:t>
      </w:r>
    </w:p>
    <w:p>
      <w:r>
        <w:t>Detta dokument behandlar höga naturvärden i avverkningsanmälan A 2523-2024 i Uppsala kommun som inkom 2024-01-22 och omfattar 18,8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339342"/>
            <wp:docPr id="1" name="Picture 1"/>
            <wp:cNvGraphicFramePr>
              <a:graphicFrameLocks noChangeAspect="1"/>
            </wp:cNvGraphicFramePr>
            <a:graphic>
              <a:graphicData uri="http://schemas.openxmlformats.org/drawingml/2006/picture">
                <pic:pic>
                  <pic:nvPicPr>
                    <pic:cNvPr id="0" name="A 2523-2024 karta.png"/>
                    <pic:cNvPicPr/>
                  </pic:nvPicPr>
                  <pic:blipFill>
                    <a:blip r:embed="rId16"/>
                    <a:stretch>
                      <a:fillRect/>
                    </a:stretch>
                  </pic:blipFill>
                  <pic:spPr>
                    <a:xfrm>
                      <a:off x="0" y="0"/>
                      <a:ext cx="5486400" cy="5339342"/>
                    </a:xfrm>
                    <a:prstGeom prst="rect"/>
                  </pic:spPr>
                </pic:pic>
              </a:graphicData>
            </a:graphic>
          </wp:inline>
        </w:drawing>
      </w:r>
    </w:p>
    <w:p>
      <w:pPr>
        <w:pStyle w:val="Caption"/>
        <w:spacing w:after="240"/>
      </w:pPr>
      <w:r>
        <w:t>Figur 1. Fyndplatser för naturvårdsarter i och inom 25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6645685, E 628258 i SWEREF 99 TM.</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och inom 25 meter från avverkningsanmälan har följande 18 naturvårdsarter hittats: knärot (VU, T, §8), lunglav (NT, T), rutskinn (NT, T), rödbrun blekspik (NT, T), tallticka (NT, T), talltita (NT, §4), tretåig hackspett (NT, T, §4), ullticka (NT, T), vedskivlav (NT, T), brandticka (S), bronshjon (S, T), grönpyrola (S, T), rostfläck (S, T), trådticka (S, T), blåsippa (T, §9), spillkråka (T, §4), tjäder (T, §4) och revlummer (§9). Av dessa är 9 rödlistade. För rödlistade arter har rödlistekategorin angivits inom parentes. Arter som är signalarter enligt Skogsstyrelsen har markerats med (S).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knärot (VU, T, §8), talltita (NT, §4), tretåig hackspett (NT, T, §4), blåsippa (T, §9), spillkråka (T, §4), tjäder (T,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2.46 ha med buffertzonerna och får av detta skäl inte avverkas.</w:t>
      </w:r>
    </w:p>
    <w:p>
      <w:pPr>
        <w:pStyle w:val="Caption"/>
      </w:pPr>
      <w:r>
        <w:drawing>
          <wp:inline xmlns:a="http://schemas.openxmlformats.org/drawingml/2006/main" xmlns:pic="http://schemas.openxmlformats.org/drawingml/2006/picture">
            <wp:extent cx="5486400" cy="5084818"/>
            <wp:docPr id="2" name="Picture 2"/>
            <wp:cNvGraphicFramePr>
              <a:graphicFrameLocks noChangeAspect="1"/>
            </wp:cNvGraphicFramePr>
            <a:graphic>
              <a:graphicData uri="http://schemas.openxmlformats.org/drawingml/2006/picture">
                <pic:pic>
                  <pic:nvPicPr>
                    <pic:cNvPr id="0" name="A 2523-2024 karta knärot.png"/>
                    <pic:cNvPicPr/>
                  </pic:nvPicPr>
                  <pic:blipFill>
                    <a:blip r:embed="rId17"/>
                    <a:stretch>
                      <a:fillRect/>
                    </a:stretch>
                  </pic:blipFill>
                  <pic:spPr>
                    <a:xfrm>
                      <a:off x="0" y="0"/>
                      <a:ext cx="5486400" cy="508481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6645685, E 628258 i SWEREF 99 TM.</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2"/>
      </w:pPr>
      <w:r>
        <w:t>Övriga naturvårdsarter</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lunglav (NT, T), rutskinn (NT, T), rödbrun blekspik (NT, T), tallticka (NT, T), tretåig hackspett (NT, T, §4), ullticka (NT, T), vedskivlav (NT, T), bronshjon (S, T), grönpyrola (S, T), rostfläck (S, T), trådticka (S, T), blåsippa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