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24684-2026 i Uppsala kommun</w:t>
      </w:r>
    </w:p>
    <w:p>
      <w:r>
        <w:t>Denna tillsynsbegäran behandlar höga naturvärden i avverkningsanmälan A 24684-2026 i Uppsala kommun som inkom 2026-05-29 och omfattar 5,5 ha.</w:t>
      </w:r>
    </w:p>
    <w:p>
      <w:pPr>
        <w:pStyle w:val="Caption"/>
      </w:pPr>
      <w:r>
        <w:drawing>
          <wp:inline xmlns:a="http://schemas.openxmlformats.org/drawingml/2006/main" xmlns:pic="http://schemas.openxmlformats.org/drawingml/2006/picture">
            <wp:extent cx="5486400" cy="4251489"/>
            <wp:docPr id="1" name="Picture 1"/>
            <wp:cNvGraphicFramePr>
              <a:graphicFrameLocks noChangeAspect="1"/>
            </wp:cNvGraphicFramePr>
            <a:graphic>
              <a:graphicData uri="http://schemas.openxmlformats.org/drawingml/2006/picture">
                <pic:pic>
                  <pic:nvPicPr>
                    <pic:cNvPr id="0" name="A 24684-2026 karta.png"/>
                    <pic:cNvPicPr/>
                  </pic:nvPicPr>
                  <pic:blipFill>
                    <a:blip r:embed="rId16"/>
                    <a:stretch>
                      <a:fillRect/>
                    </a:stretch>
                  </pic:blipFill>
                  <pic:spPr>
                    <a:xfrm>
                      <a:off x="0" y="0"/>
                      <a:ext cx="5486400" cy="425148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6667477, E 637885 i SWEREF 99 TM.</w:t>
      </w:r>
    </w:p>
    <w:p>
      <w:r>
        <w:t>I och inom 24 meter från avverkningsanmälan finns fynd av 10 naturvårdsarter, varav 3 är rödlistade, 3 är fridlysta, 7 är typiska (T) och 5 är signalarter (S): knärot (VU, T, §8), vedtrappmossa (NT, T), Porodaedalea chrysoloma (DD), björksplintborre (S), bronshjon (S, T), granbarkgnagare (S, T), korallrot (S, T, §8), vågbandad barkbock (S), kransmossa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3.10 ha med buffertzonerna och får av detta skäl inte avverkas.</w:t>
      </w:r>
    </w:p>
    <w:p>
      <w:pPr>
        <w:pStyle w:val="Caption"/>
      </w:pPr>
      <w:r>
        <w:drawing>
          <wp:inline xmlns:a="http://schemas.openxmlformats.org/drawingml/2006/main" xmlns:pic="http://schemas.openxmlformats.org/drawingml/2006/picture">
            <wp:extent cx="5486400" cy="4123284"/>
            <wp:docPr id="2" name="Picture 2"/>
            <wp:cNvGraphicFramePr>
              <a:graphicFrameLocks noChangeAspect="1"/>
            </wp:cNvGraphicFramePr>
            <a:graphic>
              <a:graphicData uri="http://schemas.openxmlformats.org/drawingml/2006/picture">
                <pic:pic>
                  <pic:nvPicPr>
                    <pic:cNvPr id="0" name="A 24684-2026 karta knärot.png"/>
                    <pic:cNvPicPr/>
                  </pic:nvPicPr>
                  <pic:blipFill>
                    <a:blip r:embed="rId17"/>
                    <a:stretch>
                      <a:fillRect/>
                    </a:stretch>
                  </pic:blipFill>
                  <pic:spPr>
                    <a:xfrm>
                      <a:off x="0" y="0"/>
                      <a:ext cx="5486400" cy="41232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6667477, E 637885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vedtrappmossa (NT, T), bronshjon (S, T), granbarkgnagare (S, T), korallrot (S, T, §8), kransmossa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