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52503-2025 i Uppsala kommun</w:t>
      </w:r>
    </w:p>
    <w:p>
      <w:r>
        <w:t>Denna tillsynsbegäran behandlar höga naturvärden i avverkningsanmälan A 52503-2025 i Uppsala kommun som inkom 2025-10-24 och omfattar 21,5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2503-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6636656, E 665000 i SWEREF 99 TM.</w:t>
      </w:r>
    </w:p>
    <w:p>
      <w:r>
        <w:t>I och inom 15 meter från avverkningsanmälan finns fynd av 7 naturvårdsarter, varav 5 är rödlistade, 1 är typisk (T) och 2 är signalarter (S): gulvit blekspik (VU, T), klosterlav (VU), backnopping (NT), kastanjesopp (NT), scharlakansvaxing (NT), gulvaxing (S) och maskfingersvamp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 xml:space="preserve">Kastanjesopp (NT) </w:t>
      </w:r>
      <w:r>
        <w:t>bildar mykorrhiza med ek och bok. Växer i hagmark, naturbetesmark, löväng, park, ekskog och bokskog. Verkar föredra jord med hög sandinblandning men är inte kalkberoende. Upphörande hävd av hagmarker, avverkning av artens värdträd i parker och hagmarker, avverkning i lövskog och omföring av lövskog till barrskog är de främsta hoten. På lokaler där kastanjesopp växer i slutna trädbestånd bör avverkning inte förekomma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