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30330-2026 i Uppsala kommun</w:t>
      </w:r>
    </w:p>
    <w:p>
      <w:r>
        <w:t>Denna tillsynsbegäran behandlar höga naturvärden i avverkningsanmälan A 30330-2026 i Uppsala kommun som inkom 2026-07-04 och omfattar 6,4 ha.</w:t>
      </w:r>
    </w:p>
    <w:p>
      <w:pPr>
        <w:pStyle w:val="Caption"/>
      </w:pPr>
      <w:r>
        <w:drawing>
          <wp:inline xmlns:a="http://schemas.openxmlformats.org/drawingml/2006/main" xmlns:pic="http://schemas.openxmlformats.org/drawingml/2006/picture">
            <wp:extent cx="4783769" cy="5724000"/>
            <wp:docPr id="1" name="Picture 1"/>
            <wp:cNvGraphicFramePr>
              <a:graphicFrameLocks noChangeAspect="1"/>
            </wp:cNvGraphicFramePr>
            <a:graphic>
              <a:graphicData uri="http://schemas.openxmlformats.org/drawingml/2006/picture">
                <pic:pic>
                  <pic:nvPicPr>
                    <pic:cNvPr id="0" name="A 30330-2026 karta.png"/>
                    <pic:cNvPicPr/>
                  </pic:nvPicPr>
                  <pic:blipFill>
                    <a:blip r:embed="rId16"/>
                    <a:stretch>
                      <a:fillRect/>
                    </a:stretch>
                  </pic:blipFill>
                  <pic:spPr>
                    <a:xfrm>
                      <a:off x="0" y="0"/>
                      <a:ext cx="4783769"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6631145, E 654850 i SWEREF 99 TM.</w:t>
      </w:r>
    </w:p>
    <w:p>
      <w:r>
        <w:t>I och inom 8 meter från avverkningsanmälan finns fynd av 7 naturvårdsarter, varav 3 är rödlistade, 6 är fridlysta och 2 är typiska (T): tallgångbagge (VU), gulsparv (NT, §4), järnsparv (NT, §4), blåsippa (T, §9), spillkråka (T, §4), grönsiska (§4) och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Tallgångbagge (VU) </w:t>
      </w:r>
      <w:r>
        <w:t>är en skalbagge vars larvutveckling sker i anslutning till barkborreangrepp och trädsvampar under nyligen död barrträdsbark. Främst under barken på stående tallar, och oftast i urskogsartade bestånd. De fullbildade skalbaggarna övervintrar under barken och kan sållas fram från hösten till försommaren. Arten tycks ställa stora krav på sin miljö och kräver tydligen urskogsartade bestånd med en god och kontinuerlig tillgång till nyligen döda tallar. Spara områden med gammal, överårig tallskog som nyckelbiotoper eller naturreservat. Gallra ej bort nyligen döda tallar ur naturskogsbestånd. Tallgångbagge ingår i ett åtgärdsprogram för hotade arter (ÅGP) (SLU Artdatabanken, 2024; Pettersson, 2014).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