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508-2025 i Uppsala kommun</w:t>
      </w:r>
    </w:p>
    <w:p>
      <w:r>
        <w:t>Denna tillsynsbegäran behandlar höga naturvärden i samrådsanmälan S 508-2025 i Uppsala kommun som inkom 2025-02-18 och omfattar 22,2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S 508-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6655061, E 678337 i SWEREF 99 TM.</w:t>
      </w:r>
    </w:p>
    <w:p>
      <w:r>
        <w:t>I och inom 22 meter från samrådsanmälan finns fynd av 18 naturvårdsarter, varav 4 är rödlistade, 3 är fridlysta, 8 är typiska (T) och 12 är signalarter (S): knärot (VU, T, §8), fjällig taggsvamp s.str. (NT), skarp dropptaggsvamp (NT), vedtrappmossa (NT, T), anisspindling (S), blomkålssvamp (S), grönpyrola (S, T), hagfingersvamp (S), korallblylav (S, T), olivspindling (S), rostfläck (S, T), rödgul trumpetsvamp (S), svavelriska (S), toppvaxing (S), vanlig rörsvepemossa (S, T), vedticka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508-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6655061, E 678337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vedtrappmossa (NT, T), grönpyrola (S, T), korallblylav (S, T), rostfläck (S, T), vanlig rörsvepemossa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