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34459-2022 i Uppsala kommun</w:t>
      </w:r>
    </w:p>
    <w:p>
      <w:r>
        <w:t>Detta dokument behandlar höga naturvärden i avverkningsanmälan A 34459-2022 i Uppsala kommun. Denna avverkningsanmälan inkom 2022-08-19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cinnoberbagge (EN, §4a), svart trolldruva (S), åkergroda (§4a), huggorm (§6), vanlig padda (§6) och vanlig snok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4582"/>
            <wp:docPr id="1" name="Picture 1"/>
            <wp:cNvGraphicFramePr>
              <a:graphicFrameLocks noChangeAspect="1"/>
            </wp:cNvGraphicFramePr>
            <a:graphic>
              <a:graphicData uri="http://schemas.openxmlformats.org/drawingml/2006/picture">
                <pic:pic>
                  <pic:nvPicPr>
                    <pic:cNvPr id="0" name="A 34459-2022 karta.png"/>
                    <pic:cNvPicPr/>
                  </pic:nvPicPr>
                  <pic:blipFill>
                    <a:blip r:embed="rId16"/>
                    <a:stretch>
                      <a:fillRect/>
                    </a:stretch>
                  </pic:blipFill>
                  <pic:spPr>
                    <a:xfrm>
                      <a:off x="0" y="0"/>
                      <a:ext cx="5486400" cy="3464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6629196, E 645118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cinnoberbagge (EN, §4a), åkergroda (§4a), huggorm (§6), vanlig padda (§6) och vanlig snok (§6).</w:t>
      </w:r>
    </w:p>
    <w:p>
      <w:r>
        <w:rPr>
          <w:b/>
        </w:rPr>
        <w:t>Cinnoberbagge (EN, §4a)</w:t>
      </w:r>
      <w:r>
        <w:t xml:space="preserve"> är en starkt hotad skalbagge som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Cinnoberbagge missgynnas tveklöst av modernt skogsbruk och äldre lövrik skog, särskilt bestånd med gamla aspar, bör generellt sparas inom artens utbredningsområde. Den är globalt rödlistad som nära hotad (NT) vilket innebär att Sverige har ett internationellt ansvar för arten (SLU Artdatabanken, 2024; Eriksson, 2013; IUCN, 2010).</w:t>
      </w:r>
    </w:p>
    <w:p>
      <w:r>
        <w:t>I BILAGA 1 finns mer detaljerad information om ekologi samt krav på livsmiljö hos fridlysta arter.</w:t>
      </w:r>
    </w:p>
    <w:p>
      <w:r>
        <w:br w:type="page"/>
      </w:r>
    </w:p>
    <w:p>
      <w:pPr>
        <w:pStyle w:val="Title"/>
      </w:pPr>
      <w:r>
        <w:t>BILAGA 1 – Fridlysta arter</w:t>
      </w:r>
    </w:p>
    <w:p>
      <w:pPr>
        <w:pStyle w:val="Heading1"/>
      </w:pPr>
      <w:r>
        <w:t>Cinnoberbagge – ekologi samt krav på livsmiljön</w:t>
      </w:r>
    </w:p>
    <w:p>
      <w:r>
        <w:t>Cinnoberbagge (EN, §4a) är en starkt hotad skalbagge som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Arten är globalt rödlistad som nära hotad (NT) vilket innebär att Sverige har ett internationellt ansvar för arten (SLU Artdatabanken, 2024; Eriksson, 2013; IUCN, 2010).</w:t>
      </w:r>
    </w:p>
    <w:p>
      <w:r>
        <w:t>Larvutvecklingen sker i innerbarken av nyligen döda, stående eller liggande stammar av främst lövträd. Huvudsakligen utnyttjas asp där larverna främst påträffas i beskuggade partier av stammarna och som mest kan 2–3 generationer utvecklas i ett träd innan det blir olämpligt som substrat på grund av att barken blir för torr och lossnar. Arten missgynnas tveklöst av modernt skogsbruk och äldre lövrik skog, särskilt bestånd med gamla aspar, bör generellt sparas inom artens utbredningsområde (SLU Artdatabanken, 2024; Eriksson, 2013; IUCN, 2010).</w:t>
      </w:r>
    </w:p>
    <w:p>
      <w:pPr>
        <w:pStyle w:val="Heading2"/>
      </w:pPr>
      <w:r>
        <w:t>Referenser – cinnoberbagge</w:t>
      </w:r>
    </w:p>
    <w:p>
      <w:r>
        <w:t xml:space="preserve">Eriksson, P., 2013. </w:t>
      </w:r>
      <w:r>
        <w:rPr>
          <w:i/>
        </w:rPr>
        <w:t>Åtgärdsprogram för skalbaggar på gammal asp 2013–2017 Cinnoberbagge (Cucujus cinnaberinus) Aspsplintbock (Leiopus punctulatus)</w:t>
      </w:r>
      <w:r>
        <w:t xml:space="preserve"> (Rapport 6573). Bromma: Naturvårdsverket. https://www.naturvardsverket.se/978-91-620-6573-7</w:t>
      </w:r>
    </w:p>
    <w:p>
      <w:r>
        <w:t xml:space="preserve">IUCN, 2010. </w:t>
      </w:r>
      <w:r>
        <w:rPr>
          <w:i/>
        </w:rPr>
        <w:t>Cucujus cinnaberinus</w:t>
      </w:r>
      <w:r>
        <w:t>. The IUCN Red List of Threatened Species.</w:t>
      </w:r>
    </w:p>
    <w:p>
      <w:r>
        <w:t>SLU Artdatabanken, 2024.</w:t>
      </w:r>
      <w:r>
        <w:rPr>
          <w:i/>
        </w:rPr>
        <w:t xml:space="preserve"> Artfakta: cinnoberbagge (Cucujus cinnaberinus)</w:t>
      </w:r>
      <w:r>
        <w:t>. https://artfakta.se/taxa/100763</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