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62003-2025 i Uppsala kommun</w:t>
      </w:r>
    </w:p>
    <w:p>
      <w:r>
        <w:t>Detta dokument behandlar höga naturvärden i avverkningsanmälan A 62003-2025 i Uppsala kommun. Denna avverkningsanmälan inkom 2025-12-12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rynkskinn (VU), spillkråka (NT, §4), svart ögonknäppare (NT), talltita (NT, §4), Triplax rufipes (NT), ullticka (NT), vedtrappmossa (NT), granbarkgnagare (S), lopplummer (aggregat) (§9)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7680"/>
            <wp:docPr id="1" name="Picture 1"/>
            <wp:cNvGraphicFramePr>
              <a:graphicFrameLocks noChangeAspect="1"/>
            </wp:cNvGraphicFramePr>
            <a:graphic>
              <a:graphicData uri="http://schemas.openxmlformats.org/drawingml/2006/picture">
                <pic:pic>
                  <pic:nvPicPr>
                    <pic:cNvPr id="0" name="A 62003-2025 karta.png"/>
                    <pic:cNvPicPr/>
                  </pic:nvPicPr>
                  <pic:blipFill>
                    <a:blip r:embed="rId16"/>
                    <a:stretch>
                      <a:fillRect/>
                    </a:stretch>
                  </pic:blipFill>
                  <pic:spPr>
                    <a:xfrm>
                      <a:off x="0" y="0"/>
                      <a:ext cx="5486400" cy="5867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6658737, E 633618 i SWEREF 99 TM.</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Svart ögonknäppare (NT)</w:t>
      </w:r>
      <w:r>
        <w:t xml:space="preserve"> är en skalbagge vars larvutveckling företrädesvis sker i ytlig vitrötad ved av björk, helst stående, solexponerade träd med tjock bark. Den är starkt attraherad till brandfält. På nybrända björkar utvecklas larverna helt i skiktet mellan bark och ved, även under ganska tunn bark. Arten hotas av att mängden grova björkar minskat genom flera decenniers aktiv lövbekämpning i det boreala skogslandskapet, samt av uteblivna bränder (SLU Artdatabanken, 2024).</w:t>
      </w:r>
    </w:p>
    <w:p>
      <w:r>
        <w:rPr>
          <w:b/>
          <w:i/>
        </w:rPr>
        <w:t>Triplax rufipes</w:t>
      </w:r>
      <w:r>
        <w:rPr>
          <w:b/>
        </w:rPr>
        <w:t xml:space="preserve"> </w:t>
      </w:r>
      <w:r>
        <w:t>är en trädsvampbagge vars larvutveckling sker i fruktkroppar av ostronmussling, fnöskticka, klibbticka, bokdyna och sprängticka på lövträd som björk, asp, lind, ek och bok. Arten påverkas negativt av brist på död ved och det föreligger indikation på eller misstanke om populationsminskning. Minskningen avser kvalitén på artens habitat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spillkråka (NT, §4), talltita (NT, §4), lopplummer (aggregat)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3.08 ha med buffertzonerna och får av detta skäl inte avverkas.</w:t>
      </w:r>
    </w:p>
    <w:p>
      <w:pPr>
        <w:pStyle w:val="Caption"/>
      </w:pPr>
      <w:r>
        <w:drawing>
          <wp:inline xmlns:a="http://schemas.openxmlformats.org/drawingml/2006/main" xmlns:pic="http://schemas.openxmlformats.org/drawingml/2006/picture">
            <wp:extent cx="5486400" cy="7864741"/>
            <wp:docPr id="2" name="Picture 2"/>
            <wp:cNvGraphicFramePr>
              <a:graphicFrameLocks noChangeAspect="1"/>
            </wp:cNvGraphicFramePr>
            <a:graphic>
              <a:graphicData uri="http://schemas.openxmlformats.org/drawingml/2006/picture">
                <pic:pic>
                  <pic:nvPicPr>
                    <pic:cNvPr id="0" name="A 62003-2025 karta knärot.png"/>
                    <pic:cNvPicPr/>
                  </pic:nvPicPr>
                  <pic:blipFill>
                    <a:blip r:embed="rId17"/>
                    <a:stretch>
                      <a:fillRect/>
                    </a:stretch>
                  </pic:blipFill>
                  <pic:spPr>
                    <a:xfrm>
                      <a:off x="0" y="0"/>
                      <a:ext cx="5486400" cy="78647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6658737, E 633618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