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28892-2026 i Uppsala kommun</w:t>
      </w:r>
    </w:p>
    <w:p>
      <w:r>
        <w:t>Detta klagomål behandlar höga naturvärden i avverkningsanmälan A 28892-2026 i Uppsala kommun som inkom 2026-06-26 och omfattar 11,0 ha.</w:t>
      </w:r>
    </w:p>
    <w:p>
      <w:pPr>
        <w:pStyle w:val="Caption"/>
      </w:pPr>
      <w:r>
        <w:drawing>
          <wp:inline xmlns:a="http://schemas.openxmlformats.org/drawingml/2006/main" xmlns:pic="http://schemas.openxmlformats.org/drawingml/2006/picture">
            <wp:extent cx="5252867" cy="5724000"/>
            <wp:docPr id="1" name="Picture 1"/>
            <wp:cNvGraphicFramePr>
              <a:graphicFrameLocks noChangeAspect="1"/>
            </wp:cNvGraphicFramePr>
            <a:graphic>
              <a:graphicData uri="http://schemas.openxmlformats.org/drawingml/2006/picture">
                <pic:pic>
                  <pic:nvPicPr>
                    <pic:cNvPr id="0" name="A 28892-2026 karta.png"/>
                    <pic:cNvPicPr/>
                  </pic:nvPicPr>
                  <pic:blipFill>
                    <a:blip r:embed="rId16"/>
                    <a:stretch>
                      <a:fillRect/>
                    </a:stretch>
                  </pic:blipFill>
                  <pic:spPr>
                    <a:xfrm>
                      <a:off x="0" y="0"/>
                      <a:ext cx="525286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6663272, E 630971 i SWEREF 99 TM.</w:t>
      </w:r>
    </w:p>
    <w:p>
      <w:r>
        <w:t>I och inom 23 meter från avverkningsanmälan finns fynd av 14 naturvårdsarter, varav 7 är rödlistade, 2 är fridlysta, 9 är typiska (T) och 5 är signalarter (S): gränsticka (VU, T), knärot (VU, T, §8), gransotdyna (NT), tallticka (NT, T), ullticka (NT, T), vedtrappmossa (NT, T), Porodaedalea chrysoloma (DD), björksplintborre (S), brandticka (S), bronshjon (S, T), vedticka (S, T), vågbandad barkbock (S), spillkråka (T, §4) och svarta vinbär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1.54 ha med buffertzonerna och får av detta skäl inte avverkas.</w:t>
      </w:r>
    </w:p>
    <w:p>
      <w:pPr>
        <w:pStyle w:val="Caption"/>
      </w:pPr>
      <w:r>
        <w:drawing>
          <wp:inline xmlns:a="http://schemas.openxmlformats.org/drawingml/2006/main" xmlns:pic="http://schemas.openxmlformats.org/drawingml/2006/picture">
            <wp:extent cx="5486400" cy="5723955"/>
            <wp:docPr id="2" name="Picture 2"/>
            <wp:cNvGraphicFramePr>
              <a:graphicFrameLocks noChangeAspect="1"/>
            </wp:cNvGraphicFramePr>
            <a:graphic>
              <a:graphicData uri="http://schemas.openxmlformats.org/drawingml/2006/picture">
                <pic:pic>
                  <pic:nvPicPr>
                    <pic:cNvPr id="0" name="A 28892-2026 karta knärot.png"/>
                    <pic:cNvPicPr/>
                  </pic:nvPicPr>
                  <pic:blipFill>
                    <a:blip r:embed="rId17"/>
                    <a:stretch>
                      <a:fillRect/>
                    </a:stretch>
                  </pic:blipFill>
                  <pic:spPr>
                    <a:xfrm>
                      <a:off x="0" y="0"/>
                      <a:ext cx="5486400" cy="57239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6663272, E 630971 i SWEREF 99 TM.</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Svarta vinbär</w:t>
      </w:r>
      <w:r>
        <w:t xml:space="preserve"> är typisk art för </w:t>
      </w:r>
      <w:r>
        <w:rPr>
          <w:i/>
        </w:rPr>
        <w:t xml:space="preserve">9050 Näringsrik granskog </w:t>
      </w:r>
      <w:r>
        <w:t>och</w:t>
      </w:r>
      <w:r>
        <w:rPr>
          <w:i/>
        </w:rPr>
        <w:t xml:space="preserve"> 6430 Högörtängar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