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39562-2026 i Uppsala kommun</w:t>
      </w:r>
    </w:p>
    <w:p>
      <w:r>
        <w:t>Denna tillsynsbegäran behandlar höga naturvärden i avverkningsanmälan A 39562-2026 i Uppsala kommun som inkom 2026-09-24 och omfattar 15,4 ha.</w:t>
      </w:r>
    </w:p>
    <w:p>
      <w:pPr>
        <w:pStyle w:val="Caption"/>
      </w:pPr>
      <w:r>
        <w:drawing>
          <wp:inline xmlns:a="http://schemas.openxmlformats.org/drawingml/2006/main" xmlns:pic="http://schemas.openxmlformats.org/drawingml/2006/picture">
            <wp:extent cx="5486400" cy="5535861"/>
            <wp:docPr id="1" name="Picture 1"/>
            <wp:cNvGraphicFramePr>
              <a:graphicFrameLocks noChangeAspect="1"/>
            </wp:cNvGraphicFramePr>
            <a:graphic>
              <a:graphicData uri="http://schemas.openxmlformats.org/drawingml/2006/picture">
                <pic:pic>
                  <pic:nvPicPr>
                    <pic:cNvPr id="0" name="A 39562-2026 karta.png"/>
                    <pic:cNvPicPr/>
                  </pic:nvPicPr>
                  <pic:blipFill>
                    <a:blip r:embed="rId16"/>
                    <a:stretch>
                      <a:fillRect/>
                    </a:stretch>
                  </pic:blipFill>
                  <pic:spPr>
                    <a:xfrm>
                      <a:off x="0" y="0"/>
                      <a:ext cx="5486400" cy="5535861"/>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6651541, E 616744 i SWEREF 99 TM.</w:t>
      </w:r>
    </w:p>
    <w:p>
      <w:r>
        <w:t>I och inom 11 meter från avverkningsanmälan finns fynd av 30 naturvårdsarter, varav 16 är rödlistade, 7 är fridlysta, 18 är typiska (T) och 9 är signalarter (S): gräddporing (VU, T), knärot (VU, T, §8), raggbock (VU, T), barrpraktbagge (NT), dropptaggsvamp (NT, T), dvärgbägarlav (NT, T), gropticka (NT, T), kolflarnlav (NT, T), kortskaftad ärgspik (NT), motaggsvamp (NT, T), skrovlig flatbagge (NT, T), tallkötticka (NT), talltita (NT, §4), ullticka (NT, T), vedskivlav (NT, T), vedtrappmossa (NT, T), björksplintborre (S), bronshjon (S, T), flagellkvastmossa (S, T), granbarkgnagare (S, T), gullgröppa (S), jättesvampmal (S), rödgul trumpetsvamp (S), större träfjäril (S), vågbandad barkbock (S), mattlummer (T, §9), spillkråka (T, §4), tjäder (T, §4), vanlig padda (§6)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2.52 ha med buffertzonerna och får av detta skäl inte avverkas.</w:t>
      </w:r>
    </w:p>
    <w:p>
      <w:pPr>
        <w:pStyle w:val="Caption"/>
      </w:pPr>
      <w:r>
        <w:drawing>
          <wp:inline xmlns:a="http://schemas.openxmlformats.org/drawingml/2006/main" xmlns:pic="http://schemas.openxmlformats.org/drawingml/2006/picture">
            <wp:extent cx="5486400" cy="7333681"/>
            <wp:docPr id="2" name="Picture 2"/>
            <wp:cNvGraphicFramePr>
              <a:graphicFrameLocks noChangeAspect="1"/>
            </wp:cNvGraphicFramePr>
            <a:graphic>
              <a:graphicData uri="http://schemas.openxmlformats.org/drawingml/2006/picture">
                <pic:pic>
                  <pic:nvPicPr>
                    <pic:cNvPr id="0" name="A 39562-2026 karta knärot.png"/>
                    <pic:cNvPicPr/>
                  </pic:nvPicPr>
                  <pic:blipFill>
                    <a:blip r:embed="rId17"/>
                    <a:stretch>
                      <a:fillRect/>
                    </a:stretch>
                  </pic:blipFill>
                  <pic:spPr>
                    <a:xfrm>
                      <a:off x="0" y="0"/>
                      <a:ext cx="5486400" cy="733368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6651541, E 616744 i SWEREF 99 TM.</w:t>
      </w:r>
    </w:p>
    <w:p>
      <w:r>
        <w:rPr>
          <w:b/>
        </w:rPr>
        <w:t>Raggbock (VU)</w:t>
      </w:r>
      <w:r>
        <w:t xml:space="preserve"> är en brandgynnad skalbagge vars larvutveckling sker i äldre, liggande, solexponerade stammar av tall, mer sällan gran. Raggbock ingår i ett åtgärdsprogram för hotade arter (ÅGP) och den är rödlistad som nära hotad (NT) i den europeiska rödlistan. Raggbock är typisk art för </w:t>
      </w:r>
      <w:r>
        <w:rPr>
          <w:i/>
        </w:rPr>
        <w:t>9010 Taiga</w:t>
      </w:r>
      <w:r>
        <w:t xml:space="preserve"> och</w:t>
      </w:r>
      <w:r>
        <w:rPr>
          <w:i/>
        </w:rPr>
        <w:t xml:space="preserve"> 9060 Åsbarrskog</w:t>
      </w:r>
      <w:r>
        <w:t xml:space="preserve"> (SLU Artdatabanken, 2024; Wikars, 2014; IUCN, 2010).</w:t>
      </w:r>
    </w:p>
    <w:p>
      <w:r>
        <w:rPr>
          <w:b/>
        </w:rPr>
        <w:t>Barrpraktbagge (NT)</w:t>
      </w:r>
      <w:r>
        <w:t xml:space="preserve"> är en skalbagge vars larvutveckling sker under bark på nyligen döda, solexponerade stammar av barrträd, i Sverige gran och tall. Arten missgynnas av bristen på solbelyst, färsk barrträdsved i skogslandskapet. Områden där stormfällningar eller skogsbrand skett, bör lämnas orörda utan uttag av virke, exempelvis genom naturvårdsavtal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Skrovlig flatbagge (NT) </w:t>
      </w:r>
      <w:r>
        <w:t xml:space="preserve">är en skalbagge vars larvutveckling sker i mycelrik ved nära fruktkroppar av timmerticka eller citronticka i lågor av barrträd, främst tall, men även gran. Fullbildade skalbaggar påträffas i eller utanpå stammen vid näringsgnag på de vitaktiga, resupinata fruktkropparna. Arten missgynnas framförallt av att skogen blir tätare på grund av skogsskötsel och av att såväl återkommande bränder som skogsbete upphört. I naturligt öppnare miljöer hotas arten av vedtäkt och annat tillvaratagande av tallvirke. Naturligt brunnen tallskog i eller nära lokaler med arten bör skyddas. I skogsbruket bör mer naturvårdsträd av tall och vindfällen lämnas i fred. Detta är särskilt viktigt i kantzoner mot mer öppen mark tex. invid hällmarksimpediment. Skrovlig flatbagge är typisk art för </w:t>
      </w:r>
      <w:r>
        <w:rPr>
          <w:i/>
        </w:rPr>
        <w:t>9060 Åsbarrskog</w:t>
      </w:r>
      <w:r>
        <w:t xml:space="preserve"> och</w:t>
      </w:r>
      <w:r>
        <w:rPr>
          <w:b/>
        </w:rPr>
        <w:t xml:space="preserve"> </w:t>
      </w:r>
      <w:r>
        <w:t>ingår i ett åtgärdsprogram för hotade arter (ÅGP). Den är rödlistad som sårbar (VU) på den europeiska rödlistan vilket medför ett internationellt ansvar för arten (IUCN, 2025; SLU Artdatabanken, 2024; Wikars, 2014).</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gräddporing (VU, T), knärot (VU, T, §8), raggbock (VU, T), dropptaggsvamp (NT, T), dvärgbägarlav (NT, T), gropticka (NT, T), kolflarnlav (NT, T), motaggsvamp (NT, T), skrovlig flatbagge (NT, T), ullticka (NT, T), vedskivlav (NT, T), vedtrappmossa (NT, T), bronshjon (S, T), flagellkvastmossa (S, T), granbarkgnagare (S, T), mattlummer (T, §9),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