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23 naturvårdsarter, varav 12 är rödlistade, 4 är fridlysta, 13 är typiska (T) och 8 är signalarter (S): granrotspindling (VU), knärot (VU, T, §8), rosetticka (VU), rotfingersvamp (VU), fjällig taggsvamp s.str. (NT), motaggsvamp (NT, T), orange taggsvamp (NT, T), rynkskinn (NT, T), talltita (NT, §4), ullticka (NT, T), vedtrappmossa (NT, T), vågticka (NT), brandticka (S), granbarkgnagare (S, T), gullgröppa (S), rödgul trumpetsvamp (S), svavelriska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