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5624-2025 i Uppsala kommun</w:t>
      </w:r>
    </w:p>
    <w:p>
      <w:r>
        <w:t>Detta dokument behandlar höga naturvärden i avverkningsanmälan A 5624-2025 i Uppsala kommun. Denna avverkningsanmälan inkom 2025-02-05 och omfattar 6,1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mindre märgborre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871949"/>
            <wp:docPr id="1" name="Picture 1"/>
            <wp:cNvGraphicFramePr>
              <a:graphicFrameLocks noChangeAspect="1"/>
            </wp:cNvGraphicFramePr>
            <a:graphic>
              <a:graphicData uri="http://schemas.openxmlformats.org/drawingml/2006/picture">
                <pic:pic>
                  <pic:nvPicPr>
                    <pic:cNvPr id="0" name="A 5624-2025 karta.png"/>
                    <pic:cNvPicPr/>
                  </pic:nvPicPr>
                  <pic:blipFill>
                    <a:blip r:embed="rId16"/>
                    <a:stretch>
                      <a:fillRect/>
                    </a:stretch>
                  </pic:blipFill>
                  <pic:spPr>
                    <a:xfrm>
                      <a:off x="0" y="0"/>
                      <a:ext cx="5486400" cy="287194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6634074, E 634612 i SWEREF 99 TM.</w:t>
      </w:r>
    </w:p>
    <w:p>
      <w:r>
        <w:rPr>
          <w:b/>
        </w:rPr>
        <w:t>Mindre märgborre</w:t>
      </w:r>
      <w:r>
        <w:t xml:space="preserve"> är en signalart för tallskog med höga naturvärden och betraktas tillsammans med skarptandad barkborre (NT) som nyckelarter för ett antal sällsynta åtgärdsprogramsarter som är beroende av deras gångsystem. Bland dessa kan nämnas avlång barkborre (VU), </w:t>
      </w:r>
      <w:r>
        <w:rPr>
          <w:i/>
        </w:rPr>
        <w:t>Corticeus longulus</w:t>
      </w:r>
      <w:r>
        <w:t xml:space="preserve"> (VU), tallbarksvartbagge (VU), tallgångbagge (VU) och cholodkovskys bastborre (NT). Den mindre märgborrens måsvingeliknande gnaggångar är lätta att känna igen och hittas ofta på grova tallgrenar på marken. 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(Pettersson, 2014; Hedgren, 2012; Gunnarsson m fl., 1999).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(NT) som nyckelarter, eftersom en rad sällsynta efterföljande arter är beroende av deras gångsystem. Bland dessa kan nämnas åtgärdsprogramsarterna avlång barkborre (VU), </w:t>
      </w:r>
      <w:r>
        <w:rPr>
          <w:i/>
        </w:rPr>
        <w:t>Corticeus longulus</w:t>
      </w:r>
      <w:r>
        <w:t xml:space="preserve"> (VU), tallbarksvartbagge (VU), tallgångbagge (VU) och cholodkovskys bastborre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(NT). De barkborrar som missgynnas av större märgborre är i mycket högre grad gynnade av tallar som dör genom självgallring, dvs. i normalfallet skog som inte används till skogsproduktion (Pettersson, 2014; Wikars, skriftl.).</w:t>
      </w:r>
    </w:p>
    <w:p>
      <w:r>
        <w:t>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(Pettersson, 2014).</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