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som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43 naturvårdsarter hittats: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2"/>
      </w:pPr>
      <w:r>
        <w:t>Fridlysta arter</w:t>
      </w:r>
    </w:p>
    <w:p>
      <w:r>
        <w:t>Följande fridlysta arter har sina livsmiljöer och växtplatser i den avverkningsanmälda skogen: bombmurkla (EN, §8), pärluggla (EN, T, §4), cinnoberbagge (VU, §4a), duvhök (NT, §4), göktyta (NT, §4), mindre hackspett (NT, T, §4), nötkråka (NT, T, §4), rödvingetrast (NT, §4), sparvuggla (NT, §4), talltita (NT, §4), tretåig hackspett (NT, T, §4), vinterhämpling (NT, §4), grön sköldmossa (S, T, §8), gråspett (T, §4), järpe (T, §4), nattskärra (T, §4), spillkråka (T, §4), tjäder (T, §4), gröngöling (§4), kungsfågel (§4), orre (§4), skogsduva (§4), slaguggla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