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51297-2024 i Uppsala kommun</w:t>
      </w:r>
    </w:p>
    <w:p>
      <w:r>
        <w:t>Detta dokument behandlar höga naturvärden i avverkningsanmälan A 51297-2024 i Uppsala kommun. Denna avverkningsanmälan inkom 2024-11-07 00:00:00 och omfattar 322,7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31 naturvårdsarter hittats: cinnoberbagge (EN, §4a), bombmurkla (VU, §8), rostorangelav (VU), vinterhämpling (VU, §4), västlig njurlav (VU), duvhök (NT, §4), grynig filtlav (NT), grön aspvedbock (NT), järpe (NT, §4), koralltaggsvamp (NT), lunglav (NT), mindre hackspett (NT, §4), rödvingetrast (NT, §4), slaguggla (NT, §4), spillkråka (NT, §4), talltita (NT, §4), tretåig hackspett (NT, §4), ullticka (NT), vippärt (NT), aspbarkborre (S), barkticka (S), bårdlav (S), grön sköldmossa (S, §8), lönnlav (S), platt fjädermossa (S), rävticka (S), skinnlav (S), stor aspticka (S), stuplav (S), trådticka (S) och skogsduva (§4).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51297-2024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6630871, E 628228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Västlig njurlav (VU)</w:t>
      </w:r>
      <w:r>
        <w:t xml:space="preserve"> växer på mossiga lövträdstammar eller klippor i områden med hög luftfuktighet och förekommer huvudsakligen på lövträd, främst asp men ofta också på ask, sälg, rönn, ek och lönn. Den mest typiska miljön är halvöppen blandskog i bergskanter med gran och senvuxna aspar. Arten hotas av avverkning av asp och andra lövträd i blandskogar samt av utglesning av skog på eller i omedelbar närhet av växtplatsen. Nyetablering och spridning försvåras av att aspar i blandskogar ofta avverkas i samband med gallringar. Lämpliga miljöer nyskapas i mycket begränsad omfattning. Västlig njurlav är placerad högst upp i Skogsstyrelsens värdepyramid för bedömning av skog med höga naturvärden och har minskat med 25 (20–30) % under de senaste 50 åren. Sedan 2010 har minskningstakten ökat och överstiger gränsvärdet för Sårbar (VU) enligt A-kriteriet. (A3bc) (SLU Artdatabanken, 2024; Nitare &amp; Skogsstyrelsen, 2019).</w:t>
      </w:r>
    </w:p>
    <w:p>
      <w:pPr>
        <w:pStyle w:val="Heading1"/>
      </w:pPr>
      <w:r>
        <w:t>Fridlysta arter</w:t>
      </w:r>
    </w:p>
    <w:p>
      <w:r>
        <w:t>Följande fridlysta arter har sina livsmiljöer och växtplatser i den avverkningsanmälda skogen: cinnoberbagge (EN, §4a), bombmurkla (VU, §8), vinterhämpling (VU, §4), duvhök (NT, §4), järpe (NT, §4), mindre hackspett (NT, §4), rödvingetrast (NT, §4), slaguggla (NT, §4), spillkråka (NT, §4), talltita (NT, §4), tretåig hackspett (NT, §4), grön sköldmossa (S, §8)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Cinnoberbagge (EN, §4a)</w:t>
      </w:r>
      <w:r>
        <w:t xml:space="preserve">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Cinnoberbagge missgynnas tveklöst av modernt skogsbruk och äldre lövrik skog, särskilt bestånd med gamla aspar, bör generellt sparas inom artens utbredningsområde. Den är globalt rödlistad som nära hotad (NT) vilket innebär att Sverige har ett internationellt ansvar för arten (SLU Artdatabanken, 2024; Eriksson, 2013; IUCN, 2010).</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31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Cinnoberbagge – ekologi samt krav på livsmiljön</w:t>
      </w:r>
    </w:p>
    <w:p>
      <w:r>
        <w:t>Cinnoberbagge (EN, §4a)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Arten är globalt rödlistad som nära hotad (NT) vilket innebär att Sverige har ett internationellt ansvar för arten (SLU Artdatabanken, 2024; Eriksson, 2013; IUCN, 2010).</w:t>
      </w:r>
    </w:p>
    <w:p>
      <w:r>
        <w:t>Larvutvecklingen sker i innerbarken av nyligen döda, stående eller liggande stammar av främst lövträd. Huvudsakligen utnyttjas asp där larverna främst påträffas i beskuggade partier av stammarna och som mest kan 2–3 generationer utvecklas i ett träd innan det blir olämpligt som substrat på grund av att barken blir för torr och lossnar. Arten missgynnas tveklöst av modernt skogsbruk och äldre lövrik skog, särskilt bestånd med gamla aspar, bör generellt sparas inom artens utbredningsområde (SLU Artdatabanken, 2024; Eriksson, 2013; IUCN, 2010).</w:t>
      </w:r>
    </w:p>
    <w:p>
      <w:pPr>
        <w:pStyle w:val="Heading2"/>
      </w:pPr>
      <w:r>
        <w:t>Referenser – cinnoberbagge</w:t>
      </w:r>
    </w:p>
    <w:p>
      <w:r>
        <w:t xml:space="preserve">Eriksson, P., 2013. </w:t>
      </w:r>
      <w:r>
        <w:rPr>
          <w:i/>
        </w:rPr>
        <w:t>Åtgärdsprogram för skalbaggar på gammal asp 2013–2017 Cinnoberbagge (Cucujus cinnaberinus) Aspsplintbock (Leiopus punctulatus)</w:t>
      </w:r>
      <w:r>
        <w:t xml:space="preserve"> (Rapport 6573). Bromma: Naturvårdsverket. https://www.naturvardsverket.se/978-91-620-6573-7</w:t>
      </w:r>
    </w:p>
    <w:p>
      <w:r>
        <w:t xml:space="preserve">IUCN, 2010. </w:t>
      </w:r>
      <w:r>
        <w:rPr>
          <w:i/>
        </w:rPr>
        <w:t>Cucujus cinnaberinus</w:t>
      </w:r>
      <w:r>
        <w:t>. The IUCN Red List of Threatened Species.</w:t>
      </w:r>
    </w:p>
    <w:p>
      <w:r>
        <w:t>SLU Artdatabanken, 2024.</w:t>
      </w:r>
      <w:r>
        <w:rPr>
          <w:i/>
        </w:rPr>
        <w:t xml:space="preserve"> Artfakta: cinnoberbagge (Cucujus cinnaberinus)</w:t>
      </w:r>
      <w:r>
        <w:t>. https://artfakta.se/taxa/100763</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