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7380-2023 i Uppsala kommun</w:t>
      </w:r>
    </w:p>
    <w:p>
      <w:r>
        <w:t>Detta dokument behandlar höga naturvärden i avverkningsanmälan A 7380-2023 i Uppsala kommun. Denna avverkningsanmälan inkom 2023-02-14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cinnoberbagge (EN, §4a), bleknande kamskivling (NT), jättekamskivling (NT), rutskinn (NT), bolmörtsskivling (S), gulmjölkig storskål (S), hasselsopp (S), svart trolldruva (S), tibast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r>
        <w:rPr>
          <w:b/>
        </w:rPr>
        <w:t xml:space="preserve">Gulmjölkig storskål </w:t>
      </w:r>
      <w:r>
        <w:t>visar på rika ädellövskogar och lundar med höga naturvärden och speciella markförhållanden där den kalkhaltiga jorden är något fuktig och långvarigt beskuggad. Gulmjölkig storskål utgör en karaktärsart i exempelvis gamla slutna öländska hässlen och lundar där den ibland uppträder rikligt, nästan alltid tillsammans med andra ovanliga och rödlistade arter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cinnoberbagge (EN, §4a) och blåsippa (§9).</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