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27389-2021 i Uppsala kommun</w:t>
      </w:r>
    </w:p>
    <w:p>
      <w:r>
        <w:t>Detta dokument behandlar höga naturvärden i avverkningsanmälan A 27389-2021 i Uppsala kommun. Denna avverkningsanmälan inkom 2021-06-04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rutskinn (NT), vedtrappmossa (NT), terpentinmossa (S) och vedticka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27389-2021 karta.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6645252, E 629206 i SWEREF 99 TM.</w:t>
      </w:r>
    </w:p>
    <w:p>
      <w:r>
        <w:rPr>
          <w:b/>
        </w:rPr>
        <w:t>Rutskinn (NT)</w:t>
      </w:r>
      <w:r>
        <w:t xml:space="preserve"> är en relativt sällsynt art som växer främst på gammal grov ek och nedfallna grenar av ek, framför allt i ekhagar, men ibland även i mera sluten ädellöv- och blandskog. För att gynna arten måste hagmarker och ädellövskog med grova ekar skyddas och skötas så att en olikåldrig struktur gynnas och de gamla träden får ersättare när de dör (SLU Artdatabanken, 2024; Nitare &amp; Skogsstyrelsen, 2019).</w:t>
      </w:r>
    </w:p>
    <w:p>
      <w:r>
        <w:rPr>
          <w:b/>
        </w:rPr>
        <w:t>Terpentinmossa</w:t>
      </w:r>
      <w:r>
        <w:t xml:space="preserve"> signalerar alltid biotoper med höga naturvärden och dess lokaler bör alltid uppmärksammas som nyckelbiotoper. Den indikerar områden med konstant beskuggning och god tillgång på murken, fuktig ved och tål inte avverkning och markberedning. Sverige har ett internationellt ansvar för arten, då en relativt stor andel av den europeiska populationen troligen finns i vårt land. Terpentinmossa är rödlistad som nära hotad (NT) på den europeiska rödlistan (Nitare &amp; Skogsstyrelsen, 2019; IUCN, 2019).</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20 fyndplatser för knärot registrerade på Artportalen. Figur 2 visar gränserna för buffertzoner på 50 m, som behöver lämnas kring fyndplatserna för att knärotslokalerna inte ska försvinna vid en avverkning. Av det avverkningsanmälda området överlappar 1.90 ha med buffertzonerna och får av detta skäl inte avverkas.</w:t>
      </w:r>
    </w:p>
    <w:p>
      <w:pPr>
        <w:pStyle w:val="Caption"/>
      </w:pPr>
      <w:r>
        <w:drawing>
          <wp:inline xmlns:a="http://schemas.openxmlformats.org/drawingml/2006/main" xmlns:pic="http://schemas.openxmlformats.org/drawingml/2006/picture">
            <wp:extent cx="5486400" cy="5308938"/>
            <wp:docPr id="2" name="Picture 2"/>
            <wp:cNvGraphicFramePr>
              <a:graphicFrameLocks noChangeAspect="1"/>
            </wp:cNvGraphicFramePr>
            <a:graphic>
              <a:graphicData uri="http://schemas.openxmlformats.org/drawingml/2006/picture">
                <pic:pic>
                  <pic:nvPicPr>
                    <pic:cNvPr id="0" name="A 27389-2021 karta knärot.png"/>
                    <pic:cNvPicPr/>
                  </pic:nvPicPr>
                  <pic:blipFill>
                    <a:blip r:embed="rId17"/>
                    <a:stretch>
                      <a:fillRect/>
                    </a:stretch>
                  </pic:blipFill>
                  <pic:spPr>
                    <a:xfrm>
                      <a:off x="0" y="0"/>
                      <a:ext cx="5486400" cy="530893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6645252, E 629206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