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51297-2024 i Uppsala kommun</w:t>
      </w:r>
    </w:p>
    <w:p>
      <w:r>
        <w:t>Detta dokument behandlar höga naturvärden i avverkningsanmälan A 51297-2024 i Uppsala kommun. Denna avverkningsanmälan inkom 2024-11-07 00:00:00 och omfattar 322,7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31 naturvårdsarter hittats: cinnoberbagge (EN, §4a), bombmurkla (VU, §8), rostorangelav (VU), vinterhämpling (VU, §4), västlig njurlav (VU), duvhök (NT, §4), grynig filtlav (NT), grön aspvedbock (NT), järpe (NT, §4), koralltaggsvamp (NT), lunglav (NT), mindre hackspett (NT, §4), rödvingetrast (NT, §4), slaguggla (NT, §4), spillkråka (NT, §4), talltita (NT, §4), tretåig hackspett (NT, §4), ullticka (NT), vippärt (NT), aspbarkborre (S), barkticka (S), bårdlav (S), grön sköldmossa (S, §8), lönnlav (S), platt fjädermossa (S), rävticka (S), skinnlav (S), stor aspticka (S), stuplav (S), trådticka (S) och skogsduva (§4). Av dessa är 19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6130"/>
            <wp:docPr id="1" name="Picture 1"/>
            <wp:cNvGraphicFramePr>
              <a:graphicFrameLocks noChangeAspect="1"/>
            </wp:cNvGraphicFramePr>
            <a:graphic>
              <a:graphicData uri="http://schemas.openxmlformats.org/drawingml/2006/picture">
                <pic:pic>
                  <pic:nvPicPr>
                    <pic:cNvPr id="0" name="A 51297-2024 karta.png"/>
                    <pic:cNvPicPr/>
                  </pic:nvPicPr>
                  <pic:blipFill>
                    <a:blip r:embed="rId16"/>
                    <a:stretch>
                      <a:fillRect/>
                    </a:stretch>
                  </pic:blipFill>
                  <pic:spPr>
                    <a:xfrm>
                      <a:off x="0" y="0"/>
                      <a:ext cx="5486400" cy="52961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6630871, E 628228 i SWEREF 99 TM.</w:t>
      </w:r>
    </w:p>
    <w:p>
      <w:r>
        <w:rPr>
          <w:b/>
        </w:rPr>
        <w:t>Grynig filtlav (NT)</w:t>
      </w:r>
      <w:r>
        <w:t xml:space="preserve"> tillhör en grupp fuktighetskrävande, storväxta bladlavar där också bl.a. lunglav (NT) ingår. Den växer framför allt på gamla mossiga stammar av lövträd, särskilt ädellövträd samt asp och sälg, i kulturmarker, lövskogar, halvöppna och lövrika barrblandskogar i områden med hög luftfuktighet. Arten indikerar långvarig förekomst av gamla lövträd och ett mikroklimat med konstant hög och jämn luftfuktighet (SLU Artdatabanken, 2024; Nitare &amp; Skogsstyrelsen, 2019).</w:t>
      </w:r>
    </w:p>
    <w:p>
      <w:r>
        <w:rPr>
          <w:b/>
        </w:rPr>
        <w:t>Grön aspvedbock (NT)</w:t>
      </w:r>
      <w:r>
        <w:t xml:space="preserve"> är en skalbagge vars larvutveckling sker under tjock bark på nyligen döda stammar och grova grenar (&gt;5 cm diameter) av lövträd, i Sverige nästan uteslutande asp. Främsta hotet är bristen på gammal aspskog. Skogsbruket har under lång tid missgynnat asp, och det är idag på många håll ovanligt med gamla lövrika skogar. Inom skogsbruket bör man spara aspar vid röjning, gallring och slutavverkning, och därmed få andelen lövskog att öka i hela skogslandskapet. Bruket att ringbarka gamla aspar för att motverka rotskott bör upphöra (SLU Artdatabanken, 2024).</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Vippärt (NT) </w:t>
      </w:r>
      <w:r>
        <w:t>är en kalkgynnad, värmeälskande växt som påträffas i olika ljusöppna rika ädellövskogar och lundar. Ofta växer den i bryn och sydvända sluttningar, gärna på blockrika marker och visar på skydddsvärda skogsmiljöer med långvarig kontinuitet, såväl i rika ädellövskogar som kalkbarrskogar (Nitare &amp; Skogsstyrelsen, 2019).</w:t>
      </w:r>
    </w:p>
    <w:p>
      <w:r>
        <w:rPr>
          <w:b/>
        </w:rPr>
        <w:t>Västlig njurlav (VU)</w:t>
      </w:r>
      <w:r>
        <w:t xml:space="preserve"> växer på mossiga lövträdstammar eller klippor i områden med hög luftfuktighet och förekommer huvudsakligen på lövträd, främst asp men ofta också på ask, sälg, rönn, ek och lönn. Den mest typiska miljön är halvöppen blandskog i bergskanter med gran och senvuxna aspar. Arten hotas av avverkning av asp och andra lövträd i blandskogar samt av utglesning av skog på eller i omedelbar närhet av växtplatsen. Nyetablering och spridning försvåras av att aspar i blandskogar ofta avverkas i samband med gallringar. Lämpliga miljöer nyskapas i mycket begränsad omfattning. Västlig njurlav är placerad högst upp i Skogsstyrelsens värdepyramid för bedömning av skog med höga naturvärden och har minskat med 25 (20–30) % under de senaste 50 åren. Sedan 2010 har minskningstakten ökat och överstiger gränsvärdet för Sårbar (VU) enligt A-kriteriet. (A3bc) (SLU Artdatabanken, 2024; Nitare &amp; Skogsstyrelsen, 2019).</w:t>
      </w:r>
    </w:p>
    <w:p>
      <w:pPr>
        <w:pStyle w:val="Heading1"/>
      </w:pPr>
      <w:r>
        <w:t>Fridlysta arter</w:t>
      </w:r>
    </w:p>
    <w:p>
      <w:r>
        <w:t>Följande fridlysta arter har sina livsmiljöer och växtplatser i den avverkningsanmälda skogen: cinnoberbagge (EN, §4a), bombmurkla (VU, §8), vinterhämpling (VU, §4), duvhök (NT, §4), järpe (NT, §4), mindre hackspett (NT, §4), rödvingetrast (NT, §4), slaguggla (NT, §4), spillkråka (NT, §4), talltita (NT, §4), tretåig hackspett (NT, §4), grön sköldmossa (S, §8) och skogsduva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p>
      <w:r>
        <w:rPr>
          <w:b/>
        </w:rPr>
        <w:t>Cinnoberbagge (EN, §4a)</w:t>
      </w:r>
      <w:r>
        <w:t xml:space="preserve"> är en starkt hotad skalbagge som omfattas av bilaga 2 och 4 EU:s art- och habitatdirektiv vilket innebär att arten och dess livsmiljöer är strikt skyddade samt att Natura 2000-områden ska inrättas. Den omfattas av ett åtgärdsprogram för hotade arter (ÅGP) och dess bevarandestatus inom habitatdirektivet är dålig med negativ trend. Cinnoberbagge missgynnas tveklöst av modernt skogsbruk och äldre lövrik skog, särskilt bestånd med gamla aspar, bör generellt sparas inom artens utbredningsområde. Den är globalt rödlistad som nära hotad (NT) vilket innebär att Sverige har ett internationellt ansvar för arten (SLU Artdatabanken, 2024; Eriksson, 2013; IUCN, 2010).</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Slaguggla (NT, §4)</w:t>
      </w:r>
      <w:r>
        <w:t>, rödlistad som nära hotad, är fridlyst enligt 4 § artskyddsförordningen och ingår i bilaga 1 EU:s fågeldirektiv. Artens minskningstakt har uppgått till 17 (0–33) % under de senaste 24 åren och bedöms vara nära gränsvärdet för Sårbar (VU). Tillgången på naturliga boplatser för slaguggla har minskat drastiskt och kommer även att minska i framtiden. Industriskogsbrukets korta omloppstider förhindrar nybildning av grova torrträd och utgör det största hotet mot arten. Skogsbrukets hänsyn måste tillåta att vissa skogsarealer, inte bara av låg bonitet, når mycket hög ålder. Runt boplatsen bör det finnas uppvuxen skog (minst 1 hektar) med träd som kan fungera som sittplatser för de vuxna ugglorna. Träden utgör särskilt viktiga skydd för ungarna att klättra upp i när de lämnar boet, eftersom de inte kan flyga då (SLU Artdatabanken, 2024;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Cinnoberbagge – ekologi samt krav på livsmiljön</w:t>
      </w:r>
    </w:p>
    <w:p>
      <w:r>
        <w:t>Cinnoberbagge (EN, §4a) är en starkt hotad skalbagge som omfattas av bilaga 2 och 4 EU:s art- och habitatdirektiv vilket innebär att arten och dess livsmiljöer är strikt skyddade samt att Natura 2000-områden ska inrättas. Den omfattas av ett åtgärdsprogram för hotade arter (ÅGP) och dess bevarandestatus inom habitatdirektivet är dålig med negativ trend. Arten är globalt rödlistad som nära hotad (NT) vilket innebär att Sverige har ett internationellt ansvar för arten (SLU Artdatabanken, 2024; Eriksson, 2013; IUCN, 2010).</w:t>
      </w:r>
    </w:p>
    <w:p>
      <w:r>
        <w:t>Larvutvecklingen sker i innerbarken av nyligen döda, stående eller liggande stammar av främst lövträd. Huvudsakligen utnyttjas asp där larverna främst påträffas i beskuggade partier av stammarna och som mest kan 2–3 generationer utvecklas i ett träd innan det blir olämpligt som substrat på grund av att barken blir för torr och lossnar. Arten missgynnas tveklöst av modernt skogsbruk och äldre lövrik skog, särskilt bestånd med gamla aspar, bör generellt sparas inom artens utbredningsområde (SLU Artdatabanken, 2024; Eriksson, 2013; IUCN, 2010).</w:t>
      </w:r>
    </w:p>
    <w:p>
      <w:pPr>
        <w:pStyle w:val="Heading2"/>
      </w:pPr>
      <w:r>
        <w:t>Referenser – cinnoberbagge</w:t>
      </w:r>
    </w:p>
    <w:p>
      <w:r>
        <w:t xml:space="preserve">Eriksson, P., 2013. </w:t>
      </w:r>
      <w:r>
        <w:rPr>
          <w:i/>
        </w:rPr>
        <w:t>Åtgärdsprogram för skalbaggar på gammal asp 2013–2017 Cinnoberbagge (Cucujus cinnaberinus) Aspsplintbock (Leiopus punctulatus)</w:t>
      </w:r>
      <w:r>
        <w:t xml:space="preserve"> (Rapport 6573). Bromma: Naturvårdsverket. https://www.naturvardsverket.se/978-91-620-6573-7</w:t>
      </w:r>
    </w:p>
    <w:p>
      <w:r>
        <w:t xml:space="preserve">IUCN, 2010. </w:t>
      </w:r>
      <w:r>
        <w:rPr>
          <w:i/>
        </w:rPr>
        <w:t>Cucujus cinnaberinus</w:t>
      </w:r>
      <w:r>
        <w:t>. The IUCN Red List of Threatened Species.</w:t>
      </w:r>
    </w:p>
    <w:p>
      <w:r>
        <w:t>SLU Artdatabanken, 2024.</w:t>
      </w:r>
      <w:r>
        <w:rPr>
          <w:i/>
        </w:rPr>
        <w:t xml:space="preserve"> Artfakta: cinnoberbagge (Cucujus cinnaberinus)</w:t>
      </w:r>
      <w:r>
        <w:t>. https://artfakta.se/taxa/100763</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Slaguggla – ekologi samt krav på livsmiljön</w:t>
      </w:r>
    </w:p>
    <w:p>
      <w:r>
        <w:t>Slaguggla (NT, §4) häckar i skogsmark, oftast i anslutning till myrar, hyggen och inägor. Den förekommer från mellersta Sverige norrut till Lule Lappmark och norra Norrbotten. Häckningsrevirets storlek varierar betydligt, från cirka 300 hektar till uppemot 600–700 hektar. De gamla fåglarna är mycket stationära och revirets storlek beror bland annat på närheten till grannrevir och kvaliteten på jaktmarkerna. Spridning av ungfåglar sker 5–70 km från boplatsen, i sällsynta fall kan ungfåglar vandra betydligt längre. Runt boplatsen bör det finnas uppvuxen skog (minst 1 hektar) med träd som kan fungera som sittplatser för de vuxna ugglorna. Träden utgör särskilt viktiga skydd för ungarna att klättra upp i när de lämnar boet, eftersom de inte kan flyga då (SLU Artdatabanken, 2024; Skogsstyrelsen, 2016).</w:t>
      </w:r>
    </w:p>
    <w:p>
      <w:r>
        <w:t>Industriskogsbrukets korta omloppstider (100–120 år) förhindrar nybildning av grova torrträd och utgör det största hotet mot arten. Skogsbrukets hänsyn måste tillåta att vissa skogsarealer, inte bara av låg bonitet, når mycket hög ålder. Tillgången på naturliga boplatser för slaguggla har minskat drastiskt och kommer även att minska i framtiden. Detta beror på det moderna skogsbrukets inriktning och metoder som inte längre tillåter utbildandet av träd av de dimensioner som säkerställer nybildning av lämpliga boplatser i form av rötade stammar som kan bilda ”skorstenar” eller större hål i samband med kvistbrott. Som exempel på vad som krävs kan nämnas att tolv, genom dendrokronologisk analys, daterade bebodda torrakstubbar i Hälsingland hade varit döda i 255 år (129–360 år) och var 200–400 år gamla innan de dog. De äldsta tallarna hade alltså börjat växa från begynnelsen av 1300-talet och de yngsta från mitten av 1600-talet (SLU Artdatabanken, 2024).</w:t>
      </w:r>
    </w:p>
    <w:p>
      <w:r>
        <w:t>Slaguggla (NT), fridlyst enligt §4 Artskyddsförordningen, är upptagen i bilaga 1 EU:s fågeldirektiv och bilaga 2 Bernkonventionen samt finns med som prioriterad art i Skogsstyrelsens vägledning för skogsbruket (SKSFS 2011:7). Minskningstakten har uppgått till 17 (0–33) % under de senaste 24 åren och bedöms vara nära gränsvärdet för Sårbar (VU). (A2bc) (SLU Artdatabanken, 2024).</w:t>
      </w:r>
    </w:p>
    <w:p>
      <w:pPr>
        <w:pStyle w:val="Heading2"/>
      </w:pPr>
      <w:r>
        <w:t>Referenser – slaguggla</w:t>
      </w:r>
    </w:p>
    <w:p>
      <w:r>
        <w:t xml:space="preserve">Skogsstyrelsen, 2016. </w:t>
      </w:r>
      <w:r>
        <w:rPr>
          <w:i/>
        </w:rPr>
        <w:t xml:space="preserve">Vägledning för hänsyn till fåglar – Slaguggla. </w:t>
      </w:r>
      <w:r>
        <w:t>www.skogsstyrelsen.se</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