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7380-2023 i Uppsala kommun</w:t>
      </w:r>
    </w:p>
    <w:p>
      <w:r>
        <w:t>Detta dokument behandlar höga naturvärden i avverkningsanmälan A 7380-2023 i Uppsala kommun. Denna avverkningsanmälan inkom 2023-02-14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skogsalm (CR), cinnoberbagge (EN, §4a), bleknande kamskivling (NT), jättekamskivling (NT), rutskinn (NT), bolmörtsskivling (S), gulmjölkig storskål (S), hasselsopp (S), svart trolldruva (S), tibast (S), vårärt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7380-2023 karta.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6634726, E 663173 i SWEREF 99 TM.</w:t>
      </w:r>
    </w:p>
    <w:p>
      <w:r>
        <w:rPr>
          <w:b/>
        </w:rPr>
        <w:t xml:space="preserve">Gulmjölkig storskål </w:t>
      </w:r>
      <w:r>
        <w:t>visar på rika ädellövskogar och lundar med höga naturvärden och speciella markförhållanden där den kalkhaltiga jorden är något fuktig och långvarigt beskuggad. Gulmjölkig storskål utgör en karaktärsart i exempelvis gamla slutna öländska hässlen och lundar där den ibland uppträder rikligt, nästan alltid tillsammans med andra ovanliga och rödlistade arter (Nitare &amp; Skogsstyrelsen, 2019).</w:t>
      </w:r>
    </w:p>
    <w:p>
      <w:r>
        <w:rPr>
          <w:b/>
        </w:rPr>
        <w:t>Jättekamskivling (NT)</w:t>
      </w:r>
      <w:r>
        <w:t xml:space="preserve"> är en sällsynt svamp som tillhör ädellövskogsfloran där den bildar mykorrhiza med lövträd, bl.a. ek och bok. Den är överallt en bra signalart och indikerar lång trädkontinuitet i ädellövskog på kalkhaltig mark (SLU Artdatabanken, 2024; Nitare &amp; Skogsstyrelsen, 2019).</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cinnoberbagge (EN, §4a) och blåsippa (§9).</w:t>
      </w:r>
    </w:p>
    <w:p>
      <w:r>
        <w:rPr>
          <w:b/>
        </w:rPr>
        <w:t>Cinnoberbagge (EN, §4a)</w:t>
      </w:r>
      <w:r>
        <w:t xml:space="preserve"> är en starkt hotad skalbagge som omfattas av bilaga 2 och 4 EU:s art- och habitatdirektiv vilket innebär att arten och dess livsmiljöer är strikt skyddade samt att Natura 2000-områden ska inrättas. Den omfattas av ett åtgärdsprogram för hotade arter (ÅGP) och dess bevarandestatus inom habitatdirektivet är dålig med negativ trend. Cinnoberbagge missgynnas tveklöst av modernt skogsbruk och äldre lövrik skog, särskilt bestånd med gamla aspar, bör generellt sparas inom artens utbredningsområde. Den är globalt rödlistad som nära hotad (NT) vilket innebär att Sverige har ett internationellt ansvar för arten (SLU Artdatabanken, 2024; Eriksson, 2013; IUCN, 2010).</w:t>
      </w:r>
    </w:p>
    <w:p>
      <w:r>
        <w:t>I BILAGA 1 finns mer detaljerad information om ekologi samt krav på livsmiljö hos fridlysta arter.</w:t>
      </w:r>
    </w:p>
    <w:p>
      <w:r>
        <w:br w:type="page"/>
      </w:r>
    </w:p>
    <w:p>
      <w:pPr>
        <w:pStyle w:val="Title"/>
      </w:pPr>
      <w:r>
        <w:t>BILAGA 1 – Fridlysta arter</w:t>
      </w:r>
    </w:p>
    <w:p>
      <w:pPr>
        <w:pStyle w:val="Heading1"/>
      </w:pPr>
      <w:r>
        <w:t>Cinnoberbagge – ekologi samt krav på livsmiljön</w:t>
      </w:r>
    </w:p>
    <w:p>
      <w:r>
        <w:t>Cinnoberbagge (EN, §4a) är en starkt hotad skalbagge som omfattas av bilaga 2 och 4 EU:s art- och habitatdirektiv vilket innebär att arten och dess livsmiljöer är strikt skyddade samt att Natura 2000-områden ska inrättas. Den omfattas av ett åtgärdsprogram för hotade arter (ÅGP) och dess bevarandestatus inom habitatdirektivet är dålig med negativ trend. Arten är globalt rödlistad som nära hotad (NT) vilket innebär att Sverige har ett internationellt ansvar för arten (SLU Artdatabanken, 2024; Eriksson, 2013; IUCN, 2010).</w:t>
      </w:r>
    </w:p>
    <w:p>
      <w:r>
        <w:t>Larvutvecklingen sker i innerbarken av nyligen döda, stående eller liggande stammar av främst lövträd. Huvudsakligen utnyttjas asp där larverna främst påträffas i beskuggade partier av stammarna och som mest kan 2–3 generationer utvecklas i ett träd innan det blir olämpligt som substrat på grund av att barken blir för torr och lossnar. Arten missgynnas tveklöst av modernt skogsbruk och äldre lövrik skog, särskilt bestånd med gamla aspar, bör generellt sparas inom artens utbredningsområde (SLU Artdatabanken, 2024; Eriksson, 2013; IUCN, 2010).</w:t>
      </w:r>
    </w:p>
    <w:p>
      <w:pPr>
        <w:pStyle w:val="Heading2"/>
      </w:pPr>
      <w:r>
        <w:t>Referenser – cinnoberbagge</w:t>
      </w:r>
    </w:p>
    <w:p>
      <w:r>
        <w:t xml:space="preserve">Eriksson, P., 2013. </w:t>
      </w:r>
      <w:r>
        <w:rPr>
          <w:i/>
        </w:rPr>
        <w:t>Åtgärdsprogram för skalbaggar på gammal asp 2013–2017 Cinnoberbagge (Cucujus cinnaberinus) Aspsplintbock (Leiopus punctulatus)</w:t>
      </w:r>
      <w:r>
        <w:t xml:space="preserve"> (Rapport 6573). Bromma: Naturvårdsverket. https://www.naturvardsverket.se/978-91-620-6573-7</w:t>
      </w:r>
    </w:p>
    <w:p>
      <w:r>
        <w:t xml:space="preserve">IUCN, 2010. </w:t>
      </w:r>
      <w:r>
        <w:rPr>
          <w:i/>
        </w:rPr>
        <w:t>Cucujus cinnaberinus</w:t>
      </w:r>
      <w:r>
        <w:t>. The IUCN Red List of Threatened Species.</w:t>
      </w:r>
    </w:p>
    <w:p>
      <w:r>
        <w:t>SLU Artdatabanken, 2024.</w:t>
      </w:r>
      <w:r>
        <w:rPr>
          <w:i/>
        </w:rPr>
        <w:t xml:space="preserve"> Artfakta: cinnoberbagge (Cucujus cinnaberinus)</w:t>
      </w:r>
      <w:r>
        <w:t>. https://artfakta.se/taxa/100763</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