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8865-2022 i Uppsala kommun</w:t>
      </w:r>
    </w:p>
    <w:p>
      <w:r>
        <w:t>Detta dokument behandlar höga naturvärden i avverkningsanmälan A 8865-2022 i Uppsala kommun. Denna avverkningsanmälan inkom 2022-02-22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narrtagging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8865-2022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6638735, E 660670 i SWEREF 99 TM.</w:t>
      </w:r>
    </w:p>
    <w:p>
      <w:r>
        <w:rPr>
          <w:b/>
        </w:rPr>
        <w:t>Narrtagging</w:t>
      </w:r>
      <w:r>
        <w:t xml:space="preserve"> växer på död ved, mest klena pinnar och grenar av lövträdsved såsom hassel, ek, bok, alm, sälg och asp, men påfallande ofta även på döda enbuskar i hässlen och lundar. Den visar på skyddsvärda lövskogsområdn som ofta hyser många andra sällsynta och rödlistade arter. Arten indikerar rikare lövträdsmiljöer med död ved och hög luftfuktighet. Avverkning på eller i omedelbar närhet av lokalerna och överförande av gamla och olikåldriga lövbestånd vid stränder och på bördiga marker till likåldriga löv- eller barrbestånd utgör hot, liksom åtgärder som förändrar mikroklimatet i torrare riktning. För att på sikt klara arten i områden med skogsbruk måste utökad naturvårdshänsyn tas i bäckraviner, strandsnår, rasbranter, lövlundar och bestånd med stort inslag av död ved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