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8865-2022 i Uppsala kommun</w:t>
      </w:r>
    </w:p>
    <w:p>
      <w:r>
        <w:t>Detta klagomål behandlar höga naturvärden i avverkningsanmälan A 8865-2022 i Uppsala kommun som inkom 2022-02-22 och omfattar 1,1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8865-2022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6638735, E 660670 i SWEREF 99 TM.</w:t>
      </w:r>
    </w:p>
    <w:p>
      <w:r>
        <w:t>I och inom 23 meter från avverkningsanmälan finns fynd av 6 naturvårdsarter, varav 2 är rödlistade och 4 är signalarter (S): linddyna (VU), gulprickig vaxskivling (NT), maskfingersvamp (S), narrtagging (S), plattad jordtunga (S) och sprödvaxing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Narrtagging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Avverkning på eller i omedelbar närhet av lokalerna och överförande av gamla och olikåldriga lövbestånd vid stränder och på bördiga marker till likåldriga löv- eller barrbestånd utgör hot, liksom åtgärder som förändrar mikroklimatet i torrare riktning. För att på sikt klara arten i områden med skogsbruk måste utökad naturvårdshänsyn tas i bäckraviner, strandsnår, rasbranter, lövlundar och bestånd med stort inslag av död ved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