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1725-2022 i Uppsala kommun</w:t>
      </w:r>
    </w:p>
    <w:p>
      <w:r>
        <w:t>Denna tillsynsbegäran behandlar höga naturvärden i avverkningsanmälan A 1725-2022 i Uppsala kommun som inkom 2022-01-13 och omfattar 6,1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1725-2022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6646030, E 651432 i SWEREF 99 TM.</w:t>
      </w:r>
    </w:p>
    <w:p>
      <w:r>
        <w:t>I och inom 22 meter från avverkningsanmälan finns fynd av 8 naturvårdsarter, varav 2 är rödlistade, 3 är fridlysta, 6 är typiska (T) och 4 är signalarter (S): rökpipsvamp (VU), fjällig taggsvamp s.str. (NT), fällmossa (S, T), grön sköldmossa (S, T, §8), platt fjädermossa (S, T), stubbspretmossa (S, T), blåsippa (T, §9)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Rökpipsvamp (VU) </w:t>
      </w:r>
      <w:r>
        <w:t>är en skålsvamp vars fruktkroppar normalt kommer under mars–maj, men under milda vintrar kan de uppträda redan i januari. Den växer på halvt begravda, fuktigt liggande grenar av hassel i områden med hög luftfuktighet och rörligt markvatten, exempelvis intill bäckar, i dalsänkor, strandskogar och vid bergrötter. Arten indikerar starkt skyddsvärda skogar med lång kontinuitet av hassel i fuktiga lägen, där det successivt och kontinuerligt bildas döda och halvt begravda hasselgrenar. Rökpipsvampen försvinner vid avverkning och hotas även av att lokaler röjs eller städas, t.ex. genom bortplockning av nedfallna grenar och borthuggning av buskskiktet, så att brist på lämplig hasselved uppstår. Lokaler där svampen finns måste undantas från skogsbruk. Arten är placerad högst upp i Skogsstyrelsens värdepyramid för bedömning av skog med höga naturvärden och omfattas av ett åtgärdsprogram för hotade arter (ÅGP) (SLU Artdatabanken, 2026; Nitare &amp; Skogsstyrelsen, 2019; Rydberg, 2008).</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fällmossa (S, T), grön sköldmossa (S, T, §8), platt fjädermossa (S, T), stubbspretmossa (S, T), blåsippa (T, §9)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