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30 naturvårdsarter, varav 15 är rödlistade, 7 är fridlysta, 18 är typiska (T) och 12 är signalarter (S): cinnoberbagge (VU, §4a), fläckfingersvamp (VU), knärot (VU, T, §8), kopparspindling (VU), fjällig taggsvamp s.str. (NT), kandelabersvamp (NT, T), rosenticka (NT, T), rynkskinn (NT, T), skarp dropptaggsvamp (NT), tallticka (NT, T), talltita (NT, §4), tjockfotad fingersvamp (NT), tretåig hackspett (NT, T, §4), ullticka (NT, T), vedtrappmossa (NT, T), björksplintborre (S), brandticka (S), bronshjon (S, T), bårdlav (S, T), granbarkgnagare (S, T), granbräken (S), grön sköldmossa (S, T, §8), korallblylav (S, T), mindre märgborre (S, T), svavelriska (S), vedticka (S, T), vågbandad barkbock (S),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36350-2026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6631823, E 626233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