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 och inom 18 meter från samrådsanmälan finns fynd av 10 naturvårdsarter, varav 3 är rödlistade, 7 är fridlysta, 2 är typiska (T) och 1 är signalart (S): ask (EN), brunlångöra (NT, §4a), nordfladdermus (NT, §4a), nästrot (S, §8), liljekonvalj (T), ormbär (T), större brunfladdermus (§4a),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