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14089-2026 i Uppsala kommun</w:t>
      </w:r>
    </w:p>
    <w:p>
      <w:r>
        <w:t>Denna tillsynsbegäran behandlar höga naturvärden i avverkningsanmälan A 14089-2026 i Uppsala kommun som inkom 2026-03-18 och omfattar 3,9 ha.</w:t>
      </w:r>
    </w:p>
    <w:p>
      <w:pPr>
        <w:pStyle w:val="Caption"/>
      </w:pPr>
      <w:r>
        <w:drawing>
          <wp:inline xmlns:a="http://schemas.openxmlformats.org/drawingml/2006/main" xmlns:pic="http://schemas.openxmlformats.org/drawingml/2006/picture">
            <wp:extent cx="5486400" cy="4564158"/>
            <wp:docPr id="1" name="Picture 1"/>
            <wp:cNvGraphicFramePr>
              <a:graphicFrameLocks noChangeAspect="1"/>
            </wp:cNvGraphicFramePr>
            <a:graphic>
              <a:graphicData uri="http://schemas.openxmlformats.org/drawingml/2006/picture">
                <pic:pic>
                  <pic:nvPicPr>
                    <pic:cNvPr id="0" name="A 14089-2026 karta.png"/>
                    <pic:cNvPicPr/>
                  </pic:nvPicPr>
                  <pic:blipFill>
                    <a:blip r:embed="rId16"/>
                    <a:stretch>
                      <a:fillRect/>
                    </a:stretch>
                  </pic:blipFill>
                  <pic:spPr>
                    <a:xfrm>
                      <a:off x="0" y="0"/>
                      <a:ext cx="5486400" cy="456415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6647775, E 655162 i SWEREF 99 TM.</w:t>
      </w:r>
    </w:p>
    <w:p>
      <w:r>
        <w:t>I och inom 25 meter från avverkningsanmälan finns fynd av 16 naturvårdsarter, varav 7 är rödlistade, 4 är fridlysta, 12 är typiska (T) och 5 är signalarter (S): knärot (VU, T, §8), rynkskinn (NT, T), rödbrun blekspik (NT, T), talltita (NT, §4), ullticka (NT, T), vintertagging (NT), vågticka (NT), bronshjon (S, T), granbarkgnagare (S, T), grov fjädermossa (S, T), trådticka (S, T), vågbandad barkbock (S), blåsippa (T, §9), kransmossa (T), ormbär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1.83 ha med buffertzonerna och får av detta skäl inte avverkas.</w:t>
      </w:r>
    </w:p>
    <w:p>
      <w:pPr>
        <w:pStyle w:val="Caption"/>
      </w:pPr>
      <w:r>
        <w:drawing>
          <wp:inline xmlns:a="http://schemas.openxmlformats.org/drawingml/2006/main" xmlns:pic="http://schemas.openxmlformats.org/drawingml/2006/picture">
            <wp:extent cx="5486400" cy="5673569"/>
            <wp:docPr id="2" name="Picture 2"/>
            <wp:cNvGraphicFramePr>
              <a:graphicFrameLocks noChangeAspect="1"/>
            </wp:cNvGraphicFramePr>
            <a:graphic>
              <a:graphicData uri="http://schemas.openxmlformats.org/drawingml/2006/picture">
                <pic:pic>
                  <pic:nvPicPr>
                    <pic:cNvPr id="0" name="A 14089-2026 karta knärot.png"/>
                    <pic:cNvPicPr/>
                  </pic:nvPicPr>
                  <pic:blipFill>
                    <a:blip r:embed="rId17"/>
                    <a:stretch>
                      <a:fillRect/>
                    </a:stretch>
                  </pic:blipFill>
                  <pic:spPr>
                    <a:xfrm>
                      <a:off x="0" y="0"/>
                      <a:ext cx="5486400" cy="567356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6647775, E 655162 i SWEREF 99 TM.</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Vintertagging (NT) </w:t>
      </w:r>
      <w:r>
        <w:t>växer på döda eller döende tallar som i huvudsak är mer än 250 år gamla. Den är en bra signalart som visar på gamla tallar och tallskogar med höga naturvärden. Den har klassificerats som en ”gammelskogsart” och svampen tycks kräva flerhundraåriga tallar som substrat. Arten hotas av minskande tillgång på döende och döda, äldre träd (SLU Artdatabanken, 2024; Nitare &amp; Skogsstyrelsen, 2019).</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 xml:space="preserve">Grov fjädermossa </w:t>
      </w:r>
      <w:r>
        <w:t xml:space="preserve">påträffas i gammal ädellövskog och på kalkrika bergväggar i äldre barrskog. Arten är placerad högst upp i Skogsstyrelsens värdepyramid för bedömning av skog med höga naturvärden och visar på lokaler som haft lång trädkontinuitet och stabilt mikroklimat. Grov fjädermossa är typisk art för </w:t>
      </w:r>
      <w:r>
        <w:rPr>
          <w:i/>
        </w:rPr>
        <w:t>9020 Nordlig ädellövskog, 9110 Näringsfattig bokskog, 9130 Näringsrik bokskog, 9160 Näringsrik ekskog, 9180 Ädellövskog i branter</w:t>
      </w:r>
      <w:r>
        <w:t xml:space="preserve"> och </w:t>
      </w:r>
      <w:r>
        <w:rPr>
          <w:i/>
        </w:rPr>
        <w:t>9190 Näringsfattig ekskog</w:t>
      </w:r>
      <w:r>
        <w:t xml:space="preserve"> (Nitare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Ormbär</w:t>
      </w:r>
      <w:r>
        <w:t xml:space="preserve"> är typisk art för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rynkskinn (NT, T), rödbrun blekspik (NT, T), ullticka (NT, T), bronshjon (S, T), granbarkgnagare (S, T), grov fjädermossa (S, T), trådticka (S, T), blåsippa (T, §9), kransmossa (T), ormbär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