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30 naturvårdsarter, varav 15 är rödlistade, 7 är fridlysta, 18 är typiska (T) och 12 är signalarter (S): cinnoberbagge (VU, §4a), fläckfingersvamp (VU), knärot (VU, T, §8), kopparspindling (VU), fjällig taggsvamp s.str. (NT), kandelabersvamp (NT, T), rosenticka (NT, T), rynkskinn (NT, T), skarp dropptaggsvamp (NT), tallticka (NT, T), talltita (NT, §4), tjockfotad fingersvamp (NT), tretåig hackspett (NT, T, §4), ullticka (NT, T), vedtrappmossa (NT, T), björksplintborre (S), brandticka (S), bronshjon (S, T), bårdlav (S, T), granbarkgnagare (S, T), granbräken (S), grön sköldmossa (S, T, §8), korallblylav (S, T), mindre märgborre (S, T), svavelriska (S), vedticka (S, T), vågbandad barkbock (S),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36350-2026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6631823, E 626233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rosenticka (NT, T), rynkskinn (NT, T), tallticka (NT, T), tretåig hackspett (NT, T, §4), ullticka (NT, T), vedtrappmossa (NT, T), bronshjon (S, T), bårdlav (S, T), granbarkgnagare (S, T), grön sköldmossa (S, T, §8), korallblylav (S, T), mindre märgborre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