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och inom 4 meter från avverkningsanmälan finns fynd av 4 naturvårdsarter, varav 3 är fridlysta, 3 är typiska (T) och 1 är signalart (S): rödgul trumpetsvamp (S),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