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2566-2020 i Uppsala kommun</w:t>
      </w:r>
    </w:p>
    <w:p>
      <w:r>
        <w:t>Denna tillsynsbegäran behandlar höga naturvärden i samrådsanmälan S 2566-2020 i Uppsala kommun som inkom 2020-11-25 och omfattar 8,9 ha.</w:t>
      </w:r>
    </w:p>
    <w:p>
      <w:pPr>
        <w:pStyle w:val="Caption"/>
      </w:pPr>
      <w:r>
        <w:drawing>
          <wp:inline xmlns:a="http://schemas.openxmlformats.org/drawingml/2006/main" xmlns:pic="http://schemas.openxmlformats.org/drawingml/2006/picture">
            <wp:extent cx="5346334" cy="5724000"/>
            <wp:docPr id="1" name="Picture 1"/>
            <wp:cNvGraphicFramePr>
              <a:graphicFrameLocks noChangeAspect="1"/>
            </wp:cNvGraphicFramePr>
            <a:graphic>
              <a:graphicData uri="http://schemas.openxmlformats.org/drawingml/2006/picture">
                <pic:pic>
                  <pic:nvPicPr>
                    <pic:cNvPr id="0" name="S 2566-2020 karta.png"/>
                    <pic:cNvPicPr/>
                  </pic:nvPicPr>
                  <pic:blipFill>
                    <a:blip r:embed="rId16"/>
                    <a:stretch>
                      <a:fillRect/>
                    </a:stretch>
                  </pic:blipFill>
                  <pic:spPr>
                    <a:xfrm>
                      <a:off x="0" y="0"/>
                      <a:ext cx="5346334" cy="5724000"/>
                    </a:xfrm>
                    <a:prstGeom prst="rect"/>
                  </pic:spPr>
                </pic:pic>
              </a:graphicData>
            </a:graphic>
          </wp:inline>
        </w:drawing>
      </w:r>
    </w:p>
    <w:p>
      <w:pPr>
        <w:pStyle w:val="Caption"/>
        <w:spacing w:after="240"/>
      </w:pPr>
      <w:r>
        <w:t>Figur 1. Fyndplatser för naturvårdsarter i och inom 25 meter från samrådsanmälan. Markörer utan svart kant är placerade på fyndplatsen. Markörer med svart kant är placerade vid sidan av fyndplatsen och har ett svart streck som visar fyndplatsens exakta position. Kartans mittpunktskoordinat är N 6638733, E 642777 i SWEREF 99 TM.</w:t>
      </w:r>
    </w:p>
    <w:p>
      <w:r>
        <w:t>I och inom 25 meter från samrådsanmälan finns fynd av 39 naturvårdsarter, varav 26 är rödlistade, 2 är fridlysta, 11 är typiska (T) och 12 är signalarter (S): knölig taggsvamp (EN), koppartaggsvamp (EN), violgubbe (EN), borsttagging (VU), cinnoberbagge (VU, §4a), fläckfingersvamp (VU), grangråticka (VU, T), granrotspindling (VU), taggfingersvamp (VU), ulltickeporing (VU), blek fingersvamp (NT), dropptaggsvamp (NT, T), fjällig taggsvamp s.str. (NT), flattoppad klubbsvamp (NT), fyrflikig jordstjärna (NT, T), gultoppig fingersvamp (NT), koralltaggsvamp (NT, T), motaggsvamp (NT, T), rovspindling (NT), rynkskinn (NT, T), skarp dropptaggsvamp (NT), sotvaxskivling (NT), tallkötticka (NT), ullticka (NT, T), veckticka (NT, T), vågticka (NT), blomkålssvamp (S), brandticka (S), gulskölding (S), kamjordstjärna (S), olivspindling (S), rödgul trumpetsvamp (S), smal svampklubba (S), småskölding (S), stor aspticka (S, T), svavelriska (S), terpentinmossa (S, T), zontaggsvamp (S) och blåsippa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 xml:space="preserve">Knölig taggsvamp (EN) </w:t>
      </w:r>
      <w:r>
        <w:t>är en starkt hotad art som bildar mykorrhiza med gran i äldre kalkbarrskog. Arten är placerad högst upp i Skogsstyrelsens värdepyramid för bedömning av skog med höga naturvärden och främsta hotet utgör skogsavverkning eller exploatering av växtplatsen. Samtliga växtlokaler utgör naturvårdsmässiga toppobjekt med stor biologisk mångfald, vilka alla bör erhålla långsiktigt formellt skydd (SLU Artdatabanken, 2024; Nitare &amp; Skogsstyrelsen, 2019).</w:t>
      </w:r>
    </w:p>
    <w:p>
      <w:r>
        <w:rPr>
          <w:b/>
        </w:rPr>
        <w:t xml:space="preserve">Koppartaggsvamp (EN) </w:t>
      </w:r>
      <w:r>
        <w:t>är en starkt hotad svamp som bildar mykorrhiza med gran i örtrik äldre granskog på kalkrik mark. Arten är en mycket bra indikator på skyddsvärda kalkgranskogar och påfallande ofta växer den tillsammans med raggtaggsvamp (EN). Koppartaggsvamp ingår i ett åtgärdsprogram för hotade arter (ÅGP) och dess långsiktiga överlevnad säkras genom att växtplatserna undantas från avverkning. Den totala populationen i landet har minskat kraftigt och minskningstakten, som uppgår till 50 (30–70) % inom 50 år, överstiger gränsvärdet för starkt hotad (EN) (SLU Artdatabanken, 2026; Nitare &amp; Skogsstyrelsen, 2019; Nitare, 2006).</w:t>
      </w:r>
    </w:p>
    <w:p>
      <w:r>
        <w:rPr>
          <w:b/>
        </w:rPr>
        <w:t>Violgubbe (EN)</w:t>
      </w:r>
      <w:r>
        <w:t xml:space="preserve"> är en starkt hotad art som bildar mykorrhiza med gran och bok och ev. andra trädslag i äldre ängsgran- och ängsbokskog med lång kontinuitet, främst på kalkrik mark. Arten är placerad högst upp i Skogsstyrelsens värdepyramid för bedömning av skog med höga naturvärden och indikerar alltid skogsområden med höga naturvärden. Det största hotet mot arten är skogsavverkning och den omfattas av ett åtgärdsprogram för hotade arter (ÅGP). Violgubben överlever inte en slutavverkning och verkar dessutom ha svårt att etablera sig i yngre skogsbestånd (SLU Artdatabanken, 2026; Nitare &amp; Skogsstyrelsen, 2019; Aronsson, 2006).</w:t>
      </w:r>
    </w:p>
    <w:p>
      <w:r>
        <w:rPr>
          <w:b/>
        </w:rPr>
        <w:t>Borsttagging (VU)</w:t>
      </w:r>
      <w:r>
        <w:t xml:space="preserve"> är en sällsynt art som växer på såväl levande som döda stammar av lövträd, mest asp och sälg, ibland även på al och alm. Den indikerar gamla och lövträdslika skogsmiljöer med konstant hög och jämn luftfuktighet. Svampen är mycket känslig för all form av avverkning och dränering som kan orsaka ett torrare mikroklimat på växtplatsen (SLU Artdatabanken, 2024; Nitare &amp; Skogsstyrelsen, 2019).</w:t>
      </w:r>
    </w:p>
    <w:p>
      <w:r>
        <w:rPr>
          <w:b/>
        </w:rPr>
        <w:t>Cinnoberbagge (VU, §4a)</w:t>
      </w:r>
      <w:r>
        <w:t xml:space="preserve"> omfattas av bilaga 2 och 4 EU:s art- och habitatdirektiv vilket innebär att arten och dess livsmiljöer är strikt skyddade samt att Natura 2000-områden ska inrättas. Den omfattas av ett åtgärdsprogram för hotade arter (ÅGP) och dess bevarandestatus inom habitatdirektivet är dålig med negativ trend. Cinnoberbagge missgynnas tveklöst av modernt skogsbruk och äldre lövrik skog, särskilt bestånd med gamla aspar, bör generellt sparas inom artens utbredningsområde (SLU Artdatabanken, 2026; Eriksson, 2013).</w:t>
      </w:r>
    </w:p>
    <w:p>
      <w:r>
        <w:rPr>
          <w:b/>
        </w:rPr>
        <w:t xml:space="preserve">Fläckfingersvamp (VU) </w:t>
      </w:r>
      <w:r>
        <w:t>är en sällsynt ”toppart” som bildar mykorrhiza med dels bok i äldre bokskog, dels med gran i barrskog på näringsrik-kalkrik mark, sällsynt även med ek i ädellövskog. Svampen har en egenartad, ljust svavelgröngul färg som är svår att återge. På foten och i gamla skador får svampen karaktäristiska vinröda fläckar och är därför lätt att känna igen. All form av skogsavverkning i eller i närheten av växtplatsen missgynnar arten och skogsområden där den förekommer bör skyddas och undantas från rationellt skogsbruk. Fläckfingersvamp är placerad högst upp i Skogsstyrelsens värdepyramid för bedömning av skog med höga naturvärden och dess växtplatser utgör ofta s.k. ”hotspots” för ett stort antal rödlistade svampar (SLU Artdatabanken, 2024; Nitare &amp; Skogsstyrelsen, 2019).</w:t>
      </w:r>
    </w:p>
    <w:p>
      <w:r>
        <w:rPr>
          <w:b/>
        </w:rPr>
        <w:t>Grangråticka (VU)</w:t>
      </w:r>
      <w:r>
        <w:t xml:space="preserve"> bildar mykorrhiza med gran och påträffas på kalkrik mark i örtrika granskogar med t.ex. blåsippa, harsyra och ekorrbär i fältskiktet. Arten är beroende av långvarig kontinuitet av äldre gran och tål ingen slutavverkning (kalhuggning). Lokaler med grangråticka är alltid skyddsvärda och bör skötas med stor varsamhet. Grangråticka är typisk art för </w:t>
      </w:r>
      <w:r>
        <w:rPr>
          <w:i/>
        </w:rPr>
        <w:t>9050 Näringsrik granskog</w:t>
      </w:r>
      <w:r>
        <w:t xml:space="preserve"> (SLU Artdatabanken, 2024; Nitare &amp; Skogsstyrelsen, 2019).</w:t>
      </w:r>
    </w:p>
    <w:p>
      <w:r>
        <w:rPr>
          <w:b/>
        </w:rPr>
        <w:t xml:space="preserve">Granrotspindling (VU) </w:t>
      </w:r>
      <w:r>
        <w:t>bildar mykorrhiza med gran. Växer i djup barrförna, gärna i gamla myrstackar, i medelålders till äldre ängsgranskog på kalkrik mark.</w:t>
      </w:r>
      <w:r>
        <w:rPr>
          <w:b/>
        </w:rPr>
        <w:t xml:space="preserve"> </w:t>
      </w:r>
      <w:r>
        <w:t>Minskningstakten uppgår till 30 % inom 50 år och överstiger gränsvärdet för Sårbar (VU) enligt A-kriteriet. (A2c+3c+4c). Arten missgynnas av avverkning och markberedning. Generellt bör lokaler som är särskilt rika på förekomster av sällsynta svampar säkerställas och lämnas för fri utveckling (SLU Artdatabanken, 2024).</w:t>
      </w:r>
    </w:p>
    <w:p>
      <w:r>
        <w:rPr>
          <w:b/>
        </w:rPr>
        <w:t xml:space="preserve">Taggfingersvamp (VU) </w:t>
      </w:r>
      <w:r>
        <w:t>är knuten till granskogar med långvarig kontinuitet och bildar mykorrhiza med gran på rikare mark. Den totala populationen i landet bedöms ha minskat kraftigt och fortgående att minska, huvudsakligen p.g.a. att arealen örtrik äldre granskog har minskat de senaste 50 åren. Den hotas främst av skogsavverkning och tycks försvinna efter slutavverkning, markberedning och plantering och det saknas uppgifter om fynd i planterad skog eller sekundär granskog uppkommen på kalmark. Taggfingersvamp är placerad högst upp i Skogsstyrelsens värdepyramid för bedömning av skog med höga naturvärden. Områdesskydd är en viktig åtgärd för att bevara artens förekomster (SLU Artdatabanken, 2024; Nitare &amp; Skogsstyrelsen, 2019).</w:t>
      </w:r>
    </w:p>
    <w:p>
      <w:r>
        <w:rPr>
          <w:b/>
        </w:rPr>
        <w:t xml:space="preserve">Ulltickeporing </w:t>
      </w:r>
      <w:r>
        <w:rPr>
          <w:b/>
          <w:i/>
        </w:rPr>
        <w:t>Skeletocutis brevispora</w:t>
      </w:r>
      <w:r>
        <w:rPr>
          <w:b/>
        </w:rPr>
        <w:t xml:space="preserve"> (VU)</w:t>
      </w:r>
      <w:r>
        <w:t>,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2024).</w:t>
      </w:r>
    </w:p>
    <w:p>
      <w:r>
        <w:rPr>
          <w:b/>
        </w:rPr>
        <w:t xml:space="preserve">Blek fingersvamp (NT) </w:t>
      </w:r>
      <w:r>
        <w:t>bildar mykorrhiza med dels gran i ängsgranskog men även under bok, ek och avenbok i ädellövskog. Arten är känslig för olika skogsbruksåtgärder och därför på tillbakagång såväl i Sverige som i andra europeiska länder. Arten hotas främst av slutavverkning och andra skogsbruksåtgärder. Arten tål inte en slutavverkning och sannolikt inte heller en kraftig gallring. Skogsområden med arten bör undantas från storskaligt skogsbruk. Slutavverkning, kraftig gallring och skogsgödsling måste helt undvikas, liksom körning med tunga maskiner (SLU Artdatabanken, 2024;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 xml:space="preserve">Flattoppad klubbsvamp (NT) </w:t>
      </w:r>
      <w:r>
        <w:t>bildar mykorrhiza med gran och växer i äldre barrskog på näringsrik, kalkpåverkad mark. Växtmiljön utgörs vanligen av örtrika granskogar med höga naturvärden, gärna påverkade av ytligt och rörligt markvatten. Svampen kräver välutvecklade gamla mossmattor med konstant fuktigt mikroklimat och hotas främst av slutavverkning av äldre ängsgranskogar på näringsrik mark. Artens lokaler bör undantas från skogsbruk (SLU Artdatabanken, 2024).</w:t>
      </w:r>
    </w:p>
    <w:p>
      <w:r>
        <w:rPr>
          <w:b/>
        </w:rPr>
        <w:t xml:space="preserve">Fyrflikig jordstjärna (NT) </w:t>
      </w:r>
      <w:r>
        <w:t xml:space="preserve">är en nedbrytare i löv- eller barrförna i skogsmark på väl dränerade och mer eller mindre kalkrika jordar. Den är främst funnen i örtrika gamla barrskogar, med eller utan lövträdsinslag, där den växer i nakna eller mosstäckta välutvecklade barrmattor, under gran, tall, en och ibland idegran. Artens växtplatser, och även den närliggande skogsmiljön kring växtplatserna, bör undantas från slutavverkning och genomgripande gallringar. Fyrflikig jordstjärna är typisk art för </w:t>
      </w:r>
      <w:r>
        <w:rPr>
          <w:i/>
        </w:rPr>
        <w:t>9050 Näringsrik granskog</w:t>
      </w:r>
      <w:r>
        <w:t xml:space="preserve"> (SLU Artdatabanken, 2024).</w:t>
      </w:r>
    </w:p>
    <w:p>
      <w:r>
        <w:rPr>
          <w:b/>
        </w:rPr>
        <w:t>Gultoppig fingersvamp (NT)</w:t>
      </w:r>
      <w:r>
        <w:t xml:space="preserve"> bildar mykorrhiza med gran i örtrik äldre barrskog. Den är något kalkgynnad och föredrar bördiga granskogar av lågörtstyp. Svampen hotas främst av skogsavverkning och tycks försvinna efter slutavverkning, markberedning och plantering. Skogsområden med arten bör undantas från storskaligt skogsbruk. Slutavverkning, kraftig gallring och skogsgödsling måste undvikas, liksom körning med tunga maskiner (SLU Artdatabanken, 2024).</w:t>
      </w:r>
    </w:p>
    <w:p>
      <w:r>
        <w:rPr>
          <w:b/>
        </w:rPr>
        <w:t>Koralltaggsvamp (NT)</w:t>
      </w:r>
      <w:r>
        <w:t xml:space="preserve"> är i hela landet en mycket bra signalart som nästan enbart påträffas i skogsområden med höga naturvärden. Arten hotas av brist på död ved. Ingrepp som innebär att lågor och döda eller skadade träd tas bort missgynnar arten. En slutavverkning, skoglig gallring eller annat uttag av virke på växtplatsen som ger ett förändrat lokalklimat innebär ett direkt hot liksom överföring av lövskog till barrskog. Koralltaggsvamp är typisk art för </w:t>
      </w:r>
      <w:r>
        <w:rPr>
          <w:i/>
        </w:rPr>
        <w:t>9010 Taiga, 9050 Näringsrik granskog</w:t>
      </w:r>
      <w:r>
        <w:t xml:space="preserve"> och</w:t>
      </w:r>
      <w:r>
        <w:rPr>
          <w:i/>
        </w:rPr>
        <w:t xml:space="preserve"> 9030 Landhöjningsskog</w:t>
      </w:r>
      <w:r>
        <w:t xml:space="preserve"> (SLU Artdatabanken, 2024; Nitare &amp; Skogsstyrelsen, 2019).</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Rovspindling (NT)</w:t>
      </w:r>
      <w:r>
        <w:t xml:space="preserve"> bildar mykorrhiza med gran i äldre granskog på näringsrik mark, främst i äldre kontinuitetsskog. Den totala populationen i landet bedöms ha minskat och förväntas fortsätta minska på grund av slutavverkning av äldre barrskog och kontinuitetsskog. Kända växtplatser bör säkerställas eller bevaras genom ett modifierat skogsbruk. Uttag av skog får ej ske som kalavverkning (SLU Artdatabanken, 2026).</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Sotvaxskivling (NT)</w:t>
      </w:r>
      <w:r>
        <w:t xml:space="preserve"> bildar mykorrhiza med gran och tall i barrskogar med lång trädkontinuitet. Den totala populationen i landet har minskat och bedöms fortsätta minska till följd av avverkning av äldre barrskogar. Arten har begränsad förmåga att återetablera sig efter slutavverkning eller andra storskaliga skogsbruksåtgärder. Det finns inga indikationer på att den långsiktigt kan etablera eller reproducera sig i skogsbestånd som brukas med trakthyggesmetoder, markberedning, gödsling eller föryngring med förädlat plantmaterial (SLU Artdatabanken, 2026).</w:t>
      </w:r>
    </w:p>
    <w:p>
      <w:r>
        <w:rPr>
          <w:b/>
        </w:rPr>
        <w:t>Tallkötticka (NT)</w:t>
      </w:r>
      <w:r>
        <w:t xml:space="preserve"> är tallens kötticka och har ofta ett mer resupinat växtsätt än den granlevande köttickan </w:t>
      </w:r>
      <w:r>
        <w:rPr>
          <w:i/>
        </w:rPr>
        <w:t>Leptoporus mollis</w:t>
      </w:r>
      <w:r>
        <w:t>. Artens förekomstarea och utbredning i Sverige är inte känd, men utifrån de fynd som rapporteras av kötticka på tall verkar den vara mer ovanlig än den granlevande. Den totala populationen bedöms därför ha minskat under de senaste 30 åren och fortsätter att minska i takt med att kontinuitetsskogar (skogar som inte kalavverkats) minskar i areal, samtidigt som att lämpliga miljöer inte återskapas i samma takt. Minskningstakten för den svenska populationen bedöms vara nära gränsvärdet för Sårbar (VU). (A2c+3c+4c)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Veckticka (NT)</w:t>
      </w:r>
      <w:r>
        <w:t xml:space="preserve"> förekommer främst i äldre naturskogsartad löv- och blandskog i sena åldersstadier med gamla, döende och döda aspar. Avverkning eller gallring av aspbestånd är ett hot och aspskogar och asprika blandskogar måste bevaras i högre utsträckning än hittills. Sumpskog med asp och sälg har ett särskilt högt naturvärde och bör skyddas helt från skogsbruk. Veckticka är typisk art för </w:t>
      </w:r>
      <w:r>
        <w:rPr>
          <w:i/>
        </w:rPr>
        <w:t xml:space="preserve">9010 Taiga </w:t>
      </w:r>
      <w:r>
        <w:t xml:space="preserve">och </w:t>
      </w:r>
      <w:r>
        <w:rPr>
          <w:i/>
        </w:rPr>
        <w:t>9030 Landhöjningsskog</w:t>
      </w:r>
      <w:r>
        <w:t xml:space="preserve"> (SLU Artdatabanken, 2024; Nitare &amp; Skogsstyrelsen, 2019).</w:t>
      </w:r>
    </w:p>
    <w:p>
      <w:r>
        <w:rPr>
          <w:b/>
        </w:rPr>
        <w:t xml:space="preserve">Vågticka (NT) </w:t>
      </w:r>
      <w:r>
        <w:t>förekommer främst i rikare kontinuitetsskogar med mycket död ved. Den växer på grova lågor och stubbar av gran och asp, men ibland även på andra trädslag.  Arten missgynnas av slutavverkning av äldre barrskog med lång skoglig kontinuitet, men även av skogliga åtgärder som t.ex. markberedning som förstör lågor. Minskningstakten för den svenska populationen bedöms vara nära gränsvärdet för sårbar (VU) (SLU Artdatabanken, 2026).</w:t>
      </w:r>
    </w:p>
    <w:p>
      <w:r>
        <w:rPr>
          <w:b/>
        </w:rPr>
        <w:t xml:space="preserve">Blomkålssvamp </w:t>
      </w:r>
      <w:r>
        <w:t>är en parasit och vednedbrytare som växer på rötter och basala stamdelar av tall, enstaka gånger även på lärk och gran. Träden är oftast mycket gamla, gärna 150–200 år eller äldre. När blomkålssvamp påträffas i skogslandskapet signalerar den vanligtvis skyddsvärda tallbestånd med höga naturvärden. Den är då främst knuten till gamla skogar, oftast tallnaturskogar och olika restbiotoper där det förekommer biologiskt gamla träd. Samtliga tallar med blomkålssvamp bör klassas som naturvårdsträd och lämnas som framtida ”evighetsträd” (Nitare &amp; Skogsstyrelsen, 2019).</w:t>
      </w:r>
    </w:p>
    <w:p>
      <w:r>
        <w:rPr>
          <w:b/>
        </w:rPr>
        <w:t xml:space="preserve">Brandticka </w:t>
      </w:r>
      <w:r>
        <w:t>förekommer främst i olikåldrig fuktig granskog med mycket död ved, ofta i kärrkanter eller vid bäckar på lokaler med hög luftfuktighet. Växer huvudsakligen på grova granlågor, någon enstaka gång på tall, asp eller björk, och verkar knuten till ved som först rötats av klibbticka. Arten var tidigare rödlistad men en sentida ökning, bland annat i barkborreangripna granplanteringar i sydligaste Skandinavien har förändrat hotbilden. Populationen i landet kan påverkas negativt av kalavverkning och ett skogsbruk som innebär att mängden grova granlågor minskar. Även dikning och gallring som leder till ett torrare mikroklimat på växtplatserna kan ha negativ inverkan. För att säkerställa en gynnsam bevarandestatus på sikt bör områdesskydd av artens livsmiljöer upprättas på ett sätt som tryggar livskraftiga populationer på landskapsnivå. Vid skogsbruk bör grov död ved och skyddszoner vid kärr och vattendrag lämnas, och träd tillåtas åldras och dö på ett sätt som skapar kontinuerlig tillgång på livsmiljöer (SLU Artdatabanken, 2025).</w:t>
      </w:r>
    </w:p>
    <w:p>
      <w:r>
        <w:rPr>
          <w:b/>
        </w:rPr>
        <w:t>Olivspindling</w:t>
      </w:r>
      <w:r>
        <w:t xml:space="preserve"> växer uteslutande på näringsrik och kalkhaltig skogsmark där den huvudsakligen bildar mykorrhiza med gran och tall. Svampen är en typisk representant för kalkgranskogens särpräglade och rika svampflora. Kalavverkning är ett hot mot arten, eftersom den sannolikt kräver lång kontinuitet av äldre träd. Populationerna i landet bedöms därför minska beroende på slutavverkning av äldre barrskog på kalkhaltig mark (SLU Artdatabanken, 2024; Nitare &amp; Skogsstyrelsen, 2019).</w:t>
      </w:r>
    </w:p>
    <w:p>
      <w:r>
        <w:rPr>
          <w:b/>
        </w:rPr>
        <w:t xml:space="preserve">Rödgul trumpetsvamp </w:t>
      </w:r>
      <w:r>
        <w:t>signalerar kalkrika barrsumpskogar eller avgränsade små mineralrika ytor i barrskogslandskapet, vilka normalt har höga naturvärden. I urbergsbygder är den en bra signalart på känsliga skogsbiotoper (Nitare &amp; Skogsstyrelsen, 2019).</w:t>
      </w:r>
    </w:p>
    <w:p>
      <w:r>
        <w:rPr>
          <w:b/>
        </w:rPr>
        <w:t>Stor aspticka</w:t>
      </w:r>
      <w:r>
        <w:t xml:space="preserve"> är knuten till gamla levande aspar och orsakar karaktäristiska inbuktningar i stammen (så kallad nekroser). Slutavverknings- och gallringsåtgärder i löv- och blandskogsbestånd som innebär att tillgången på grov asp minskar är ett hot mot arten. Det är viktigt att äldre aspar och aspbestånd sparas och för att gynna arten på sikt bör aspinslagen i t.ex. bergbranter, raviner, skogsbryn och kring äldre odlingsmarker generellt sparas i större utsträckning än vad som görs idag. Stor aspticka är typisk art för </w:t>
      </w:r>
      <w:r>
        <w:rPr>
          <w:i/>
        </w:rPr>
        <w:t xml:space="preserve">9010 Taiga </w:t>
      </w:r>
      <w:r>
        <w:t xml:space="preserve">och </w:t>
      </w:r>
      <w:r>
        <w:rPr>
          <w:i/>
        </w:rPr>
        <w:t>9030 Landhöjningsskog</w:t>
      </w:r>
      <w:r>
        <w:t xml:space="preserve"> (SLU Artdatabanken, 2024; Nitare &amp; Skogsstyrelsen, 2019).</w:t>
      </w:r>
    </w:p>
    <w:p>
      <w:r>
        <w:rPr>
          <w:b/>
        </w:rPr>
        <w:t>Terpentinmossa</w:t>
      </w:r>
      <w:r>
        <w:t xml:space="preserve"> signalerar alltid biotoper med höga naturvärden och dess lokaler bör alltid uppmärksammas som nyckelbiotoper. Den indikerar områden med konstant beskuggning och god tillgång på murken, fuktig ved och tål inte avverkning och markberedning. Sverige har ett internationellt ansvar för arten, då en relativt stor andel av den europeiska populationen troligen finns i vårt land. Terpentinmossa är rödlistad som nära hotad (NT) på den europeiska rödlistan och typisk art för </w:t>
      </w:r>
      <w:r>
        <w:rPr>
          <w:i/>
        </w:rPr>
        <w:t xml:space="preserve">9010 Taiga, 9080 Lövsumpskog </w:t>
      </w:r>
      <w:r>
        <w:t xml:space="preserve">och </w:t>
      </w:r>
      <w:r>
        <w:rPr>
          <w:i/>
        </w:rPr>
        <w:t>9750 Svämlövskog</w:t>
      </w:r>
      <w:r>
        <w:t xml:space="preserve"> (Nitare &amp; Skogsstyrelsen, 2019; IUCN, 2019;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samrådsanmälda skogen: grangråticka (VU, T), dropptaggsvamp (NT, T), fyrflikig jordstjärna (NT, T), koralltaggsvamp (NT, T), motaggsvamp (NT, T), rynkskinn (NT, T), ullticka (NT, T), veckticka (NT, T), stor aspticka (S, T), terpentinmossa (S, T) och blåsippa (T, §9).</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Cinnoberbagge – ekologi samt krav på livsmiljön</w:t>
      </w:r>
    </w:p>
    <w:p>
      <w:r>
        <w:t>Cinnoberbagge (VU, §4a) omfattas av bilaga 2 och 4 EU:s art- och habitatdirektiv vilket innebär att arten och dess livsmiljöer är strikt skyddade samt att Natura 2000-områden ska inrättas. Den omfattas av ett åtgärdsprogram för hotade arter (ÅGP) och dess bevarandestatus inom habitatdirektivet är dålig med negativ trend (SLU Artdatabanken, 2026; Eriksson, 2013).</w:t>
      </w:r>
    </w:p>
    <w:p>
      <w:r>
        <w:t>Larvutvecklingen sker i innerbarken av nyligen döda, stående eller liggande stammar av främst lövträd. Huvudsakligen utnyttjas asp där larverna främst påträffas i beskuggade partier av stammarna och som mest kan 2–3 generationer utvecklas i ett träd innan det blir olämpligt som substrat på grund av att barken blir för torr och lossnar. Arten missgynnas tveklöst av modernt skogsbruk och äldre lövrik skog, särskilt bestånd med gamla aspar, bör generellt sparas inom artens utbredningsområde (SLU Artdatabanken, 2026; Eriksson, 2013).</w:t>
      </w:r>
    </w:p>
    <w:p>
      <w:pPr>
        <w:pStyle w:val="Heading2"/>
      </w:pPr>
      <w:r>
        <w:t>Referenser – cinnoberbagge</w:t>
      </w:r>
    </w:p>
    <w:p>
      <w:r>
        <w:t xml:space="preserve">Eriksson, P., 2013. </w:t>
      </w:r>
      <w:r>
        <w:rPr>
          <w:i/>
        </w:rPr>
        <w:t>Åtgärdsprogram för skalbaggar på gammal asp 2013–2017 Cinnoberbagge (Cucujus cinnaberinus) Aspsplintbock (Leiopus punctulatus)</w:t>
      </w:r>
      <w:r>
        <w:t xml:space="preserve"> (Rapport 6573). Bromma: Naturvårdsverket. https://www.naturvardsverket.se/978-91-620-6573-7</w:t>
      </w:r>
    </w:p>
    <w:p>
      <w:r>
        <w:t>SLU Artdatabanken, 2026.</w:t>
      </w:r>
      <w:r>
        <w:rPr>
          <w:i/>
        </w:rPr>
        <w:t xml:space="preserve"> Artfakta: cinnoberbagge (Cucujus cinnaberinus)</w:t>
      </w:r>
      <w:r>
        <w:t>. https://artfakta.se/taxa/100763</w:t>
      </w:r>
    </w:p>
    <w:p>
      <w:pPr>
        <w:pStyle w:val="Heading1"/>
      </w:pPr>
      <w:r>
        <w:t>Ulltickeporing – ekologi samt krav på livsmiljön</w:t>
      </w:r>
    </w:p>
    <w:p>
      <w:r>
        <w:t xml:space="preserve">Ulltickeporing </w:t>
      </w:r>
      <w:r>
        <w:rPr>
          <w:i/>
        </w:rPr>
        <w:t>Skeletocutis brevispora</w:t>
      </w:r>
      <w:r>
        <w:t xml:space="preserve"> (VU),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2026).</w:t>
      </w:r>
    </w:p>
    <w:p>
      <w:r>
        <w:t xml:space="preserve">Ulltickeporingen har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(SLU Artdatabanken, 2026; Miettinen &amp; Niemelä, 2018).</w:t>
      </w:r>
    </w:p>
    <w:p>
      <w:pPr>
        <w:pStyle w:val="Heading2"/>
      </w:pPr>
      <w:r>
        <w:t>Referenser – ulltickeporing</w:t>
      </w:r>
    </w:p>
    <w:p>
      <w:r>
        <w:t xml:space="preserve">Miettinen, O. &amp; Niemelä, T., 2018. </w:t>
      </w:r>
      <w:r>
        <w:rPr>
          <w:i/>
        </w:rPr>
        <w:t>Two new temperate polypore species of Skeletocutis (Polyporales, Basidiomycota)</w:t>
      </w:r>
      <w:r>
        <w:t>. Ann. Bot. Fennici 55: 195–206.</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