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13546-2025 i Uppsala kommun</w:t>
      </w:r>
    </w:p>
    <w:p>
      <w:r>
        <w:t>Detta klagomål behandlar höga naturvärden i avverkningsanmälan A 13546-2025 i Uppsala kommun som inkom 2025-03-20 och omfattar 3,7 ha.</w:t>
      </w:r>
    </w:p>
    <w:p>
      <w:pPr>
        <w:pStyle w:val="Caption"/>
      </w:pPr>
      <w:r>
        <w:drawing>
          <wp:inline xmlns:a="http://schemas.openxmlformats.org/drawingml/2006/main" xmlns:pic="http://schemas.openxmlformats.org/drawingml/2006/picture">
            <wp:extent cx="5486400" cy="5555123"/>
            <wp:docPr id="1" name="Picture 1"/>
            <wp:cNvGraphicFramePr>
              <a:graphicFrameLocks noChangeAspect="1"/>
            </wp:cNvGraphicFramePr>
            <a:graphic>
              <a:graphicData uri="http://schemas.openxmlformats.org/drawingml/2006/picture">
                <pic:pic>
                  <pic:nvPicPr>
                    <pic:cNvPr id="0" name="A 13546-2025 karta.png"/>
                    <pic:cNvPicPr/>
                  </pic:nvPicPr>
                  <pic:blipFill>
                    <a:blip r:embed="rId16"/>
                    <a:stretch>
                      <a:fillRect/>
                    </a:stretch>
                  </pic:blipFill>
                  <pic:spPr>
                    <a:xfrm>
                      <a:off x="0" y="0"/>
                      <a:ext cx="5486400" cy="55551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6667784, E 638596 i SWEREF 99 TM.</w:t>
      </w:r>
    </w:p>
    <w:p>
      <w:r>
        <w:t>I avverkningsanmälan finns fynd av 11 naturvårdsarter, varav 3 är rödlistade, 2 är fridlysta, 7 är typiska (T) och 5 är signalarter (S): ulltickeporing (VU), ullticka (NT, T), vedtrappmossa (NT, T), björksplintborre (S), brandticka (S), bronshjon (S, T), thomsons trägnagare (S), vanlig flatbagge (S, T), blåsippa (T, §9), kransmossa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