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707-2023 i Uppsala kommun</w:t>
      </w:r>
    </w:p>
    <w:p>
      <w:r>
        <w:t>Detta klagomål behandlar höga naturvärden i samrådsanmälan S 707-2023 i Uppsala kommun som inkom 2023-02-27 och omfattar 4,1 ha.</w:t>
      </w:r>
    </w:p>
    <w:p>
      <w:pPr>
        <w:pStyle w:val="Caption"/>
      </w:pPr>
      <w:r>
        <w:drawing>
          <wp:inline xmlns:a="http://schemas.openxmlformats.org/drawingml/2006/main" xmlns:pic="http://schemas.openxmlformats.org/drawingml/2006/picture">
            <wp:extent cx="5486400" cy="5437381"/>
            <wp:docPr id="1" name="Picture 1"/>
            <wp:cNvGraphicFramePr>
              <a:graphicFrameLocks noChangeAspect="1"/>
            </wp:cNvGraphicFramePr>
            <a:graphic>
              <a:graphicData uri="http://schemas.openxmlformats.org/drawingml/2006/picture">
                <pic:pic>
                  <pic:nvPicPr>
                    <pic:cNvPr id="0" name="S 707-2023 karta.png"/>
                    <pic:cNvPicPr/>
                  </pic:nvPicPr>
                  <pic:blipFill>
                    <a:blip r:embed="rId16"/>
                    <a:stretch>
                      <a:fillRect/>
                    </a:stretch>
                  </pic:blipFill>
                  <pic:spPr>
                    <a:xfrm>
                      <a:off x="0" y="0"/>
                      <a:ext cx="5486400" cy="543738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6651421, E 683229 i SWEREF 99 TM.</w:t>
      </w:r>
    </w:p>
    <w:p>
      <w:r>
        <w:t>I samrådsanmälan finns fynd av 1 naturvårdsarter, varav 1 är signalart (S): spindelbock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Spindelbock</w:t>
      </w:r>
      <w:r>
        <w:t xml:space="preserve"> är en långhorning vars larvutveckling sker under barken på nyligen döda grenar och stammar av olika lövträd, främst björk och asp, men även klibbal, ek, hassel, sälg och andra trädslag. Det föreligger indikation på eller misstanke om populationsminskning. Minskningen avser kvalitén på artens habitat på grund av fortsatt snabb avverkning av kontinuitetsskog i norra Sverige, samt ett ökat utnyttjande av flisved (GROT) för energiändamål och röjning i hagmarker på grund av ändrade miljöersättningsregler i den södra halvan av landet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