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21809-2024 i Uppsala kommun</w:t>
      </w:r>
    </w:p>
    <w:p>
      <w:r>
        <w:t>Denna tillsynsbegäran behandlar höga naturvärden i avverkningsanmälan A 21809-2024 i Uppsala kommun som inkom 2024-05-30 och omfattar 6,6 ha.</w:t>
      </w:r>
    </w:p>
    <w:p>
      <w:pPr>
        <w:pStyle w:val="Caption"/>
      </w:pPr>
      <w:r>
        <w:drawing>
          <wp:inline xmlns:a="http://schemas.openxmlformats.org/drawingml/2006/main" xmlns:pic="http://schemas.openxmlformats.org/drawingml/2006/picture">
            <wp:extent cx="5486400" cy="4959747"/>
            <wp:docPr id="1" name="Picture 1"/>
            <wp:cNvGraphicFramePr>
              <a:graphicFrameLocks noChangeAspect="1"/>
            </wp:cNvGraphicFramePr>
            <a:graphic>
              <a:graphicData uri="http://schemas.openxmlformats.org/drawingml/2006/picture">
                <pic:pic>
                  <pic:nvPicPr>
                    <pic:cNvPr id="0" name="A 21809-2024 karta.png"/>
                    <pic:cNvPicPr/>
                  </pic:nvPicPr>
                  <pic:blipFill>
                    <a:blip r:embed="rId16"/>
                    <a:stretch>
                      <a:fillRect/>
                    </a:stretch>
                  </pic:blipFill>
                  <pic:spPr>
                    <a:xfrm>
                      <a:off x="0" y="0"/>
                      <a:ext cx="5486400" cy="49597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6633161, E 650922 i SWEREF 99 TM.</w:t>
      </w:r>
    </w:p>
    <w:p>
      <w:r>
        <w:t>I och inom 22 meter från avverkningsanmälan finns fynd av 13 naturvårdsarter, varav 9 är rödlistade, 8 är fridlysta, 2 är typiska (T) och 1 är signalart (S): bredbrämad bastardsvärmare (VU), cinnoberbagge (VU, §4a), igelkott (VU), brunlångöra (NT, §4a), järnsparv (NT, §4), mindre tåtelsmygare (NT), nordfladdermus (NT, §4a), tallticka (NT, T), turkduva (NT, §4), vågbandad barkbock (S), blåsippa (T, §9),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