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33277-2026 i Uppsala kommun</w:t>
      </w:r>
    </w:p>
    <w:p>
      <w:r>
        <w:t>Denna tillsynsbegäran behandlar höga naturvärden i avverkningsanmälan A 33277-2026 i Uppsala kommun som inkom 2026-08-12 och omfattar 23,1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33277-2026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6636378, E 673153 i SWEREF 99 TM.</w:t>
      </w:r>
    </w:p>
    <w:p>
      <w:r>
        <w:t>I och inom 25 meter från avverkningsanmälan finns fynd av 19 naturvårdsarter, varav 9 är rödlistade, 3 är fridlysta, 13 är typiska (T) och 8 är signalarter (S): dropptaggsvamp (NT, T), furuvedvivel (NT), kortskaftad ärgspik (NT), motaggsvamp (NT, T), skrovlig flatbagge (NT, T), tallticka (NT, T), talltita (NT, §4), ullticka (NT, T), vedskivlav (NT, T), blodticka (S, T), bronshjon (S, T), grönpyrola (S, T), gullgröppa (S), ljus vedstrit (S), mörk vedstrit (S), vanlig flatbagge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Furuvedvivel (NT) </w:t>
      </w:r>
      <w:r>
        <w:t>lever i murken, ofta torr kärnved i döda stammar och grövre grenar av tall. Arten påverkas negativt av brist på kontinuitetsskog och en minskning av populationen pågår eller förväntas ske. Minskningen avser kvalitén på artens habitat (SLU Artdatabanken, 2025).</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flatbagge (NT) </w:t>
      </w:r>
      <w:r>
        <w:t xml:space="preserve">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 är typisk art för </w:t>
      </w:r>
      <w:r>
        <w:rPr>
          <w:i/>
        </w:rPr>
        <w:t>9060 Åsbarrskog</w:t>
      </w:r>
      <w:r>
        <w:t xml:space="preserve"> och</w:t>
      </w:r>
      <w:r>
        <w:rPr>
          <w:b/>
        </w:rPr>
        <w:t xml:space="preserve"> </w:t>
      </w:r>
      <w:r>
        <w:t>ingår i ett åtgärdsprogram för hotade arter (ÅGP). Den är rödlistad som sårbar (VU) på den europeiska rödlistan vilket medför ett internationellt ansvar för arten (IUCN, 2025; SLU Artdatabanken, 2024; Wikars, 2014).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skrovlig flatbagge (NT, T), tallticka (NT, T), ullticka (NT, T), vedskivlav (NT, T), blodticka (S, T), bronshjon (S, T), grönpyrola (S, T), vanlig flatbagge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