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36471-2022 i Uppsala kommun</w:t>
      </w:r>
    </w:p>
    <w:p>
      <w:r>
        <w:t>Denna tillsynsbegäran behandlar höga naturvärden i avverkningsanmälan A 36471-2022 i Uppsala kommun som inkom 2022-08-31 och omfattar 4,2 ha.</w:t>
      </w:r>
    </w:p>
    <w:p>
      <w:pPr>
        <w:pStyle w:val="Caption"/>
      </w:pPr>
      <w:r>
        <w:drawing>
          <wp:inline xmlns:a="http://schemas.openxmlformats.org/drawingml/2006/main" xmlns:pic="http://schemas.openxmlformats.org/drawingml/2006/picture">
            <wp:extent cx="5486400" cy="5309176"/>
            <wp:docPr id="1" name="Picture 1"/>
            <wp:cNvGraphicFramePr>
              <a:graphicFrameLocks noChangeAspect="1"/>
            </wp:cNvGraphicFramePr>
            <a:graphic>
              <a:graphicData uri="http://schemas.openxmlformats.org/drawingml/2006/picture">
                <pic:pic>
                  <pic:nvPicPr>
                    <pic:cNvPr id="0" name="A 36471-2022 karta.png"/>
                    <pic:cNvPicPr/>
                  </pic:nvPicPr>
                  <pic:blipFill>
                    <a:blip r:embed="rId16"/>
                    <a:stretch>
                      <a:fillRect/>
                    </a:stretch>
                  </pic:blipFill>
                  <pic:spPr>
                    <a:xfrm>
                      <a:off x="0" y="0"/>
                      <a:ext cx="5486400" cy="53091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6658939, E 689963 i SWEREF 99 TM.</w:t>
      </w:r>
    </w:p>
    <w:p>
      <w:r>
        <w:t>I avverkningsanmälan finns fynd av 3 naturvårdsarter, varav 2 är typiska (T) och 3 är signalarter (S): bronshjon (S, T), spindelbock (S)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Spindelbock</w:t>
      </w:r>
      <w:r>
        <w:t xml:space="preserve"> är en långhorning vars larvutveckling sker under barken på nyligen döda grenar och stammar av olika lövträd, främst björk och asp, men även klibbal, ek, hassel, sälg och andra trädslag. Det föreligger indikation på eller misstanke om populationsminskning. Minskningen avser kvalitén på artens habitat på grund av fortsatt snabb avverkning av kontinuitetsskog i norra Sverige, samt ett ökat utnyttjande av flisved (GROT) för energiändamål och röjning i hagmarker på grund av ändrade miljöersättningsregler i den södra halvan av landet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