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3775-2023 i Uppsala kommun</w:t>
      </w:r>
    </w:p>
    <w:p>
      <w:r>
        <w:t>Denna tillsynsbegäran behandlar höga naturvärden i samrådsanmälan S 3775-2023 i Uppsala kommun som inkom 2023-10-24 och omfattar 13,7 ha.</w:t>
      </w:r>
    </w:p>
    <w:p>
      <w:pPr>
        <w:pStyle w:val="Caption"/>
      </w:pPr>
      <w:r>
        <w:drawing>
          <wp:inline xmlns:a="http://schemas.openxmlformats.org/drawingml/2006/main" xmlns:pic="http://schemas.openxmlformats.org/drawingml/2006/picture">
            <wp:extent cx="5486400" cy="4949072"/>
            <wp:docPr id="1" name="Picture 1"/>
            <wp:cNvGraphicFramePr>
              <a:graphicFrameLocks noChangeAspect="1"/>
            </wp:cNvGraphicFramePr>
            <a:graphic>
              <a:graphicData uri="http://schemas.openxmlformats.org/drawingml/2006/picture">
                <pic:pic>
                  <pic:nvPicPr>
                    <pic:cNvPr id="0" name="S 3775-2023 karta.png"/>
                    <pic:cNvPicPr/>
                  </pic:nvPicPr>
                  <pic:blipFill>
                    <a:blip r:embed="rId16"/>
                    <a:stretch>
                      <a:fillRect/>
                    </a:stretch>
                  </pic:blipFill>
                  <pic:spPr>
                    <a:xfrm>
                      <a:off x="0" y="0"/>
                      <a:ext cx="5486400" cy="4949072"/>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6639251, E 642690 i SWEREF 99 TM.</w:t>
      </w:r>
    </w:p>
    <w:p>
      <w:r>
        <w:t>I och inom 25 meter från samrådsanmälan finns fynd av 18 naturvårdsarter, varav 12 är rödlistade, 2 är fridlysta, 7 är typiska (T) och 4 är signalarter (S): lilafotad fingersvamp (EN), violgubbe (EN), gul taggsvamp (VU, T), svartfjällig musseron (VU), blek fingersvamp (NT), dofttaggsvamp (NT, T), dropptaggsvamp (NT, T), gultoppig fingersvamp (NT), motaggsvamp (NT, T), orange taggsvamp (NT, T), skarp dropptaggsvamp (NT), spinnfingersvamp (NT), blomkålssvamp (S), gulröd blankbock (S), rävticka (S, T), zontaggsvamp (S), blåsippa (T, §9)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Lilafotad fingersvamp (EN) </w:t>
      </w:r>
      <w:r>
        <w:t>är en mycket sällsynt och starkt hotad ”toppart” som bildar mykorrhiza med gran i äldre örtrik skog på kalkrik mark. Karaktäristiskt för arten är att övre delen av foten får fläckar (eller ett gördelband) med blåviolett färg. Den hotas främst av avverkning och andra skogsbruksåtgärder, eller någon annan form av exploatering och tål inte en slutavverkning eller hård gallring. Lilafotad fingersvamp</w:t>
      </w:r>
      <w:r>
        <w:rPr>
          <w:b/>
        </w:rPr>
        <w:t xml:space="preserve"> </w:t>
      </w:r>
      <w:r>
        <w:t>är placerad högst upp i Skogsstyrelsens värdepyramid för bedömning av skog med höga naturvärden och artens lokaler bör skyddas och undantas från rationellt skogsbruk (SLU Artdatabanken, 2024; Nitare &amp; Skogsstyrelsen, 2019).</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4703975"/>
            <wp:docPr id="2" name="Picture 2"/>
            <wp:cNvGraphicFramePr>
              <a:graphicFrameLocks noChangeAspect="1"/>
            </wp:cNvGraphicFramePr>
            <a:graphic>
              <a:graphicData uri="http://schemas.openxmlformats.org/drawingml/2006/picture">
                <pic:pic>
                  <pic:nvPicPr>
                    <pic:cNvPr id="0" name="S 3775-2023 karta knärot.png"/>
                    <pic:cNvPicPr/>
                  </pic:nvPicPr>
                  <pic:blipFill>
                    <a:blip r:embed="rId17"/>
                    <a:stretch>
                      <a:fillRect/>
                    </a:stretch>
                  </pic:blipFill>
                  <pic:spPr>
                    <a:xfrm>
                      <a:off x="0" y="0"/>
                      <a:ext cx="5486400" cy="470397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6639251, E 642690 i SWEREF 99 TM.</w:t>
      </w:r>
    </w:p>
    <w:p>
      <w:r>
        <w:rPr>
          <w:b/>
        </w:rPr>
        <w:t>Svartfjällig musseron (VU)</w:t>
      </w:r>
      <w:r>
        <w:t xml:space="preserve"> är en sällsynt art som bildar mykorrhiza med gran på kalkrik mark. För att klara arten på sikt bör fler områden med granskog på kalkrik mark skyddas, särskilt i södra Sverige även om de är små. Växtplatser för denna art är alltid skyddsvärda eftersom de vanligen också innehåller många andra rödlistade svampar (SLU Artdatabanken, 2024; Nitare &amp; Skogsstyrelsen, 2019).</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Spinnfingersvamp (NT) </w:t>
      </w:r>
      <w:r>
        <w:t>är främst knuten till gamla skogsmiljöer med lång trädkontinuitet, granskog, men även i lövskog. I kalkrika marker växer den även på döda enbuskar. Den är överallt en mycket bra signalart och på växtplatserna förekommer normalt många andra sällsynta och rödlistade arter. Arten missgynnas troligen av skogsbruk och den ökande exponering som blir följden av gallring och kalavverkning (Nitare &amp; Skogsstyrelsen, 2019;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Gulröd blankbock</w:t>
      </w:r>
      <w:r>
        <w:rPr>
          <w:b/>
          <w:i/>
        </w:rPr>
        <w:t xml:space="preserve"> </w:t>
      </w:r>
      <w:r>
        <w:t>är en långhorning vars larvutveckling sker i och under solexponerad, torr bark på döda grenar och stamdelar (ofta 15–30 cm diameter) av lövträd. I Sverige såvitt känt enbart på asp. Arten påverkas negativt av brist på död ved och det föreligger indikation på eller misstanke om populationsminskning (SLU Artdatabanken, 2025).</w:t>
      </w:r>
    </w:p>
    <w:p>
      <w:r>
        <w:rPr>
          <w:b/>
        </w:rPr>
        <w:t>Rävticka</w:t>
      </w:r>
      <w:r>
        <w:t xml:space="preserve"> är typisk art för </w:t>
      </w:r>
      <w:r>
        <w:rPr>
          <w:i/>
        </w:rPr>
        <w:t xml:space="preserve">9010 Taiga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gul taggsvamp (VU, T), dofttaggsvamp (NT, T), dropptaggsvamp (NT, T), motaggsvamp (NT, T), orange taggsvamp (NT, T), rävticka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