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25609-2025 i Uppsala kommun</w:t>
      </w:r>
    </w:p>
    <w:p>
      <w:r>
        <w:t>Denna tillsynsbegäran behandlar höga naturvärden i avverkningsanmälan A 25609-2025 i Uppsala kommun som inkom 2025-05-26 och omfattar 4,5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25609-2025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6648358, E 654654 i SWEREF 99 TM.</w:t>
      </w:r>
    </w:p>
    <w:p>
      <w:r>
        <w:t>I och inom 25 meter från avverkningsanmälan finns fynd av 17 naturvårdsarter, varav 4 är rödlistade, 6 är fridlysta, 8 är typiska (T) och 9 är signalarter (S): knärot (VU, T, §8), laxporing (VU), talltita (NT, §4), vedtrappmossa (NT, T), blodticka (S, T), blomkålssvamp (S), brandticka (S), bronshjon (S, T), grönpyrola (S, T), jättesvampmal (S), mindre märgborre (S, T), thomsons trägnagare (S), vågbandad barkbock (S), blåsippa (T, §9),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86 fyndplatser för knärot registrerade på Artportalen. Figur 2 visar gränserna för buffertzoner på 50 m, som behöver lämnas kring fyndplatserna för att knärotslokalerna inte ska försvinna vid en avverkning. Av det avverkningsanmälda området överlappar 3.27 ha med buffertzonerna och får av detta skäl inte avverkas.</w:t>
      </w:r>
    </w:p>
    <w:p>
      <w:pPr>
        <w:pStyle w:val="Caption"/>
      </w:pPr>
      <w:r>
        <w:drawing>
          <wp:inline xmlns:a="http://schemas.openxmlformats.org/drawingml/2006/main" xmlns:pic="http://schemas.openxmlformats.org/drawingml/2006/picture">
            <wp:extent cx="5486400" cy="5167774"/>
            <wp:docPr id="2" name="Picture 2"/>
            <wp:cNvGraphicFramePr>
              <a:graphicFrameLocks noChangeAspect="1"/>
            </wp:cNvGraphicFramePr>
            <a:graphic>
              <a:graphicData uri="http://schemas.openxmlformats.org/drawingml/2006/picture">
                <pic:pic>
                  <pic:nvPicPr>
                    <pic:cNvPr id="0" name="A 25609-2025 karta knärot.png"/>
                    <pic:cNvPicPr/>
                  </pic:nvPicPr>
                  <pic:blipFill>
                    <a:blip r:embed="rId17"/>
                    <a:stretch>
                      <a:fillRect/>
                    </a:stretch>
                  </pic:blipFill>
                  <pic:spPr>
                    <a:xfrm>
                      <a:off x="0" y="0"/>
                      <a:ext cx="5486400" cy="51677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6648358, E 654654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vedtrappmossa (NT, T), blodticka (S, T), bronshjon (S, T), grönpyrola (S, T), mindre märgborre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