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36350-2026 i Uppsala kommun</w:t>
      </w:r>
    </w:p>
    <w:p>
      <w:r>
        <w:t>Detta klagomål behandlar höga naturvärden i avverkningsanmälan A 36350-2026 i Uppsala kommun som inkom 2026-09-03 och omfattar 34,2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36350-2026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6631823, E 626233 i SWEREF 99 TM.</w:t>
      </w:r>
    </w:p>
    <w:p>
      <w:r>
        <w:t>I och inom 23 meter från avverkningsanmälan finns fynd av 22 naturvårdsarter, varav 13 är rödlistade, 4 är fridlysta, 13 är typiska (T) och 6 är signalarter (S): cinnoberbagge (VU, §4a), fläckfingersvamp (VU), kopparspindling (VU), fjällig taggsvamp s.str. (NT), kandelabersvamp (NT, T), rosenticka (NT, T), rynkskinn (NT, T), skarp dropptaggsvamp (NT), tallticka (NT, T), tjockfotad fingersvamp (NT), tretåig hackspett (NT, T, §4), ullticka (NT, T), vedtrappmossa (NT, T), brandticka (S), bronshjon (S, T), bårdlav (S, T), granbräken (S), svavelriska (S), vedticka (S, T), blåsippa (T, §9), spillkråka (T,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