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22 naturvårdsarter, varav 13 är rödlistade, 4 är fridlysta, 13 är typiska (T) och 6 är signalarter (S): cinnoberbagge (VU, §4a), fläckfingersvamp (VU), kopparspindling (VU), fjällig taggsvamp s.str. (NT), kandelabersvamp (NT, T), rosenticka (NT, T), rynkskinn (NT, T), skarp dropptaggsvamp (NT), tallticka (NT, T), tjockfotad fingersvamp (NT), tretåig hackspett (NT, T, §4), ullticka (NT, T), vedtrappmossa (NT, T), brandticka (S), bronshjon (S, T), bårdlav (S, T), granbräken (S), svavelriska (S), vedticka (S, T), blåsippa (T, §9),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rosenticka (NT, T), rynkskinn (NT, T), tallticka (NT, T), tretåig hackspett (NT, T, §4), ullticka (NT, T), vedtrappmossa (NT, T), bronshjon (S, T), bårdlav (S, T), vedticka (S, T), blåsippa (T, §9),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