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23 meter från avverkningsanmälan finns fynd av 38 naturvårdsarter, varav 20 är rödlistade, 11 är fridlysta, 23 är typiska (T) och 10 är signalarter (S): garnlav (VU, T), gräddporing (VU, T), knärot (VU, T, §8), raggbock (VU, T), barrpraktbagge (NT), brunpudrad nållav (NT, T), dropptaggsvamp (NT, T), dvärgbägarlav (NT, T), gropticka (NT, T), kolflarnlav (NT, T), kortskaftad ärgspik (NT), motaggsvamp (NT, T), rödvingetrast (NT, §4),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gråsiska (T, §4), mattlummer (T, §9), spillkråka (T, §4), tjäder (T, §4), tofsmes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raggbock (VU, T), brunpudrad nållav (NT, T), dropptaggsvamp (NT, T), dvärgbägarlav (NT, T), gropticka (NT, T), kolflarnlav (NT, T), motaggsvamp (NT, T), skrovlig flatbagge (NT, T), ullticka (NT, T), vedskivlav (NT, T), vedtrappmossa (NT, T), bronshjon (S, T), flagellkvastmossa (S, T), granbarkgnagare (S, T), vedticka (S, T), gråsiska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