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34459-2022 i Uppsala kommun</w:t>
      </w:r>
    </w:p>
    <w:p>
      <w:r>
        <w:t>Detta dokument behandlar höga naturvärden i avverkningsanmälan A 34459-2022 i Uppsala kommun. Denna avverkningsanmälan inkom 2022-08-19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cinnoberbagge (EN, §4a), matt pricklav (NT), svart trolldruva (S), gröngöling (§4), åkergroda (§4a), huggorm (§6), vanlig padda (§6)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4582"/>
            <wp:docPr id="1" name="Picture 1"/>
            <wp:cNvGraphicFramePr>
              <a:graphicFrameLocks noChangeAspect="1"/>
            </wp:cNvGraphicFramePr>
            <a:graphic>
              <a:graphicData uri="http://schemas.openxmlformats.org/drawingml/2006/picture">
                <pic:pic>
                  <pic:nvPicPr>
                    <pic:cNvPr id="0" name="A 34459-2022 karta.png"/>
                    <pic:cNvPicPr/>
                  </pic:nvPicPr>
                  <pic:blipFill>
                    <a:blip r:embed="rId16"/>
                    <a:stretch>
                      <a:fillRect/>
                    </a:stretch>
                  </pic:blipFill>
                  <pic:spPr>
                    <a:xfrm>
                      <a:off x="0" y="0"/>
                      <a:ext cx="5486400" cy="3464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6629196, E 645118 i SWEREF 99 TM.</w:t>
      </w:r>
    </w:p>
    <w:p>
      <w:r>
        <w:rPr>
          <w:b/>
        </w:rPr>
        <w:t>Matt pricklav (NT)</w:t>
      </w:r>
      <w:r>
        <w:t xml:space="preserve"> växer framför allt på grov och hård bark av gamla jätteekar och förekommer enbart på gamla träd inom områden med jätteträd. Lokalerna bör skyddas. Det finns två sällsynta lavparasiter som är knutna till matt pricklav. Pricklavstofs (DD) som växer på den matta pricklavens bål samt lavsammetsmögel (DD) som i stället växer på apothecierna av den matta pricklaven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cinnoberbagge (EN, §4a), gröngöling (§4), åkergroda (§4a), huggorm (§6), vanlig padda (§6)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