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51297-2024 i Uppsala kommun</w:t>
      </w:r>
    </w:p>
    <w:p>
      <w:r>
        <w:t>Denna tillsynsbegäran behandlar höga naturvärden i avverkningsanmälan A 51297-2024 i Uppsala kommun som inkom 2024-11-07 och omfattar 322,7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51297-2024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6630871, E 628228 i SWEREF 99 TM.</w:t>
      </w:r>
    </w:p>
    <w:p>
      <w:r>
        <w:t>I och inom 15 meter från avverkningsanmälan finns fynd av 43 naturvårdsarter, varav 21 är rödlistade, 24 är fridlysta, 25 är typiska (T) och 11 är signalarter (S): bombmurkla (EN, §8), pärluggla (EN, T, §4), cinnoberbagge (VU, §4a), västlig njurlav (VU, T), Blastenia relicta (NT), duvhök (NT, §4), grynig filtlav (NT, T), göktyta (NT, §4), koralltaggsvamp (NT, T), lunglav (NT, T), mindre hackspett (NT, T, §4), nötkråka (NT, T, §4), rödbrun blekspik (NT, T), rödvingetrast (NT, §4), skuggorangelav (NT), sparvuggla (NT, §4), talltita (NT, §4), tretåig hackspett (NT, T, §4), ullticka (NT, T), vinterhämpling (NT, §4), vippärt (NT, T), aspvedborre (S), barkticka (S, T), bårdlav (S, T), grön sköldmossa (S, T, §8), lönnlav (S), platt fjädermossa (S, T), rävticka (S, T), skinnlav (S, T), stor aspticka (S, T), stuplav (S, T), trådticka (S, T), gråspett (T, §4), järpe (T, §4), nattskärra (T, §4), spillkråka (T, §4), tjäder (T, §4), gröngöling (§4), kungsfågel (§4), orre (§4), skogsduva (§4), slaguggla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På västlig njurlav kan även de sällsynta lavparasiterna </w:t>
      </w:r>
      <w:r>
        <w:rPr>
          <w:i/>
        </w:rPr>
        <w:t>Protounguicularia nephromatis</w:t>
      </w:r>
      <w:r>
        <w:t xml:space="preserve"> (VU) och </w:t>
      </w:r>
      <w:r>
        <w:rPr>
          <w:i/>
        </w:rPr>
        <w:t>Refractohilum galligenum</w:t>
      </w:r>
      <w:r>
        <w:t xml:space="preserve"> (NT) påträffas. Västlig njurlav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i/>
        </w:rPr>
        <w:t xml:space="preserve">Blastenia relicta </w:t>
      </w:r>
      <w:r>
        <w:rPr>
          <w:b/>
        </w:rPr>
        <w:t>(NT)</w:t>
      </w:r>
      <w:r>
        <w:t xml:space="preserve"> är en rostorangelav som växer på aspgrenar, men även på stammar på senvuxna, öppet stående träd. I södra Sverige växer den ibland på ädellövträd. Arten har i södra och mellersta Sverige minskat, sannolikt dels p.g.a. att antalet senvuxna aspar i skogsmark blivit färre. Kända lokaler bör skyddas (SLU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Aspvedborre</w:t>
      </w:r>
      <w:r>
        <w:rPr>
          <w:b/>
          <w:i/>
        </w:rPr>
        <w:t xml:space="preserve"> </w:t>
      </w:r>
      <w:r>
        <w:t>är anpassad att leva på döende gamla aspar med nedsatt vitalitet eller som är skadade efter stormfällningar och stambrott, ofta i halvskuggiga lägen. Arten påverkas negativt av brist på grova eller gamla träd och det föreligger indikation på eller misstanke om populationsminskning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västlig njurlav (VU, T), grynig filtlav (NT, T), koralltaggsvamp (NT, T), lunglav (NT, T), mindre hackspett (NT, T, §4), nötkråka (NT, T, §4), rödbrun blekspik (NT, T), tretåig hackspett (NT, T, §4), ullticka (NT, T), vippärt (NT, T), barkticka (S, T), bårdlav (S, T), grön sköldmossa (S, T, §8), platt fjädermossa (S, T), rävticka (S, T), skinnlav (S, T), stor aspticka (S, T), stuplav (S, T), trådticka (S, T), gråspett (T, §4), järpe (T, §4), nattskärra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